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9CCC9" w14:textId="77777777" w:rsidR="00DA6BD4" w:rsidRPr="006766D9" w:rsidRDefault="00DA6BD4" w:rsidP="00D97C59">
      <w:pPr>
        <w:spacing w:after="240"/>
        <w:jc w:val="center"/>
        <w:rPr>
          <w:rFonts w:ascii="Times New Roman" w:hAnsi="Times New Roman" w:cs="Times New Roman"/>
          <w:b/>
          <w:bCs/>
          <w:sz w:val="24"/>
          <w:szCs w:val="24"/>
        </w:rPr>
      </w:pPr>
      <w:r w:rsidRPr="006766D9">
        <w:rPr>
          <w:rFonts w:ascii="Times New Roman" w:hAnsi="Times New Roman" w:cs="Times New Roman"/>
          <w:b/>
          <w:bCs/>
          <w:sz w:val="24"/>
          <w:szCs w:val="24"/>
        </w:rPr>
        <w:t>GRAPPLING WITH THE NEW SEXUAL HARASSMENT REGULATIONS</w:t>
      </w:r>
    </w:p>
    <w:p w14:paraId="72422351" w14:textId="4DAFFFC5" w:rsidR="00DA6BD4" w:rsidRDefault="00DA6BD4" w:rsidP="00FB624F">
      <w:pPr>
        <w:jc w:val="center"/>
        <w:rPr>
          <w:rFonts w:ascii="Times New Roman" w:hAnsi="Times New Roman" w:cs="Times New Roman"/>
          <w:b/>
          <w:bCs/>
          <w:sz w:val="24"/>
          <w:szCs w:val="24"/>
        </w:rPr>
      </w:pPr>
      <w:r w:rsidRPr="00FB624F">
        <w:rPr>
          <w:rFonts w:ascii="Times New Roman" w:hAnsi="Times New Roman" w:cs="Times New Roman"/>
          <w:b/>
          <w:bCs/>
          <w:sz w:val="24"/>
          <w:szCs w:val="24"/>
        </w:rPr>
        <w:t xml:space="preserve">Brainstorming Obstacles </w:t>
      </w:r>
      <w:proofErr w:type="gramStart"/>
      <w:r w:rsidRPr="00FB624F">
        <w:rPr>
          <w:rFonts w:ascii="Times New Roman" w:hAnsi="Times New Roman" w:cs="Times New Roman"/>
          <w:b/>
          <w:bCs/>
          <w:sz w:val="24"/>
          <w:szCs w:val="24"/>
        </w:rPr>
        <w:t>To</w:t>
      </w:r>
      <w:proofErr w:type="gramEnd"/>
      <w:r w:rsidRPr="00FB624F">
        <w:rPr>
          <w:rFonts w:ascii="Times New Roman" w:hAnsi="Times New Roman" w:cs="Times New Roman"/>
          <w:b/>
          <w:bCs/>
          <w:sz w:val="24"/>
          <w:szCs w:val="24"/>
        </w:rPr>
        <w:t xml:space="preserve"> Implementation of</w:t>
      </w:r>
      <w:r w:rsidR="00275FA7" w:rsidRPr="00FB624F">
        <w:rPr>
          <w:rFonts w:ascii="Times New Roman" w:hAnsi="Times New Roman" w:cs="Times New Roman"/>
          <w:b/>
          <w:bCs/>
          <w:sz w:val="24"/>
          <w:szCs w:val="24"/>
        </w:rPr>
        <w:t xml:space="preserve"> The </w:t>
      </w:r>
      <w:r w:rsidR="000D51CD" w:rsidRPr="00FB624F">
        <w:rPr>
          <w:rFonts w:ascii="Times New Roman" w:hAnsi="Times New Roman" w:cs="Times New Roman"/>
          <w:b/>
          <w:bCs/>
          <w:sz w:val="24"/>
          <w:szCs w:val="24"/>
        </w:rPr>
        <w:t xml:space="preserve">New </w:t>
      </w:r>
      <w:r w:rsidR="00275FA7" w:rsidRPr="00FB624F">
        <w:rPr>
          <w:rFonts w:ascii="Times New Roman" w:hAnsi="Times New Roman" w:cs="Times New Roman"/>
          <w:b/>
          <w:bCs/>
          <w:sz w:val="24"/>
          <w:szCs w:val="24"/>
        </w:rPr>
        <w:t xml:space="preserve">Title IX </w:t>
      </w:r>
      <w:r w:rsidRPr="00FB624F">
        <w:rPr>
          <w:rFonts w:ascii="Times New Roman" w:hAnsi="Times New Roman" w:cs="Times New Roman"/>
          <w:b/>
          <w:bCs/>
          <w:sz w:val="24"/>
          <w:szCs w:val="24"/>
        </w:rPr>
        <w:t>Grievance Process.</w:t>
      </w:r>
    </w:p>
    <w:p w14:paraId="73F40181" w14:textId="433F9D44" w:rsidR="001B00CD" w:rsidRDefault="001B00CD" w:rsidP="00FB624F">
      <w:pPr>
        <w:jc w:val="center"/>
        <w:rPr>
          <w:rFonts w:ascii="Times New Roman" w:hAnsi="Times New Roman" w:cs="Times New Roman"/>
          <w:b/>
          <w:bCs/>
          <w:sz w:val="24"/>
          <w:szCs w:val="24"/>
        </w:rPr>
      </w:pPr>
      <w:r>
        <w:rPr>
          <w:rFonts w:ascii="Times New Roman" w:hAnsi="Times New Roman" w:cs="Times New Roman"/>
          <w:b/>
          <w:bCs/>
          <w:sz w:val="24"/>
          <w:szCs w:val="24"/>
        </w:rPr>
        <w:t>Mary McGowan, Division Counsel, Prince William County Public Schools</w:t>
      </w:r>
    </w:p>
    <w:p w14:paraId="7A812419" w14:textId="277257B4" w:rsidR="001B00CD" w:rsidRPr="00FB624F" w:rsidRDefault="001B00CD" w:rsidP="00FB624F">
      <w:pPr>
        <w:jc w:val="center"/>
        <w:rPr>
          <w:rFonts w:ascii="Times New Roman" w:hAnsi="Times New Roman" w:cs="Times New Roman"/>
          <w:b/>
          <w:bCs/>
          <w:sz w:val="24"/>
          <w:szCs w:val="24"/>
        </w:rPr>
      </w:pPr>
      <w:r>
        <w:rPr>
          <w:rFonts w:ascii="Times New Roman" w:hAnsi="Times New Roman" w:cs="Times New Roman"/>
          <w:b/>
          <w:bCs/>
          <w:sz w:val="24"/>
          <w:szCs w:val="24"/>
        </w:rPr>
        <w:t xml:space="preserve">Craig Wood, </w:t>
      </w:r>
      <w:r w:rsidR="00102F83">
        <w:rPr>
          <w:rFonts w:ascii="Times New Roman" w:hAnsi="Times New Roman" w:cs="Times New Roman"/>
          <w:b/>
          <w:bCs/>
          <w:sz w:val="24"/>
          <w:szCs w:val="24"/>
        </w:rPr>
        <w:t>McGuire Woods, Charlottesville, Va.</w:t>
      </w:r>
    </w:p>
    <w:p w14:paraId="6E51E018" w14:textId="21753515" w:rsidR="00275FA7" w:rsidRPr="006766D9" w:rsidRDefault="00DA6BD4" w:rsidP="003F23FB">
      <w:pPr>
        <w:pStyle w:val="ListParagraph"/>
        <w:numPr>
          <w:ilvl w:val="0"/>
          <w:numId w:val="1"/>
        </w:numPr>
        <w:spacing w:after="240"/>
        <w:ind w:hanging="720"/>
        <w:contextualSpacing w:val="0"/>
        <w:rPr>
          <w:rFonts w:ascii="Times New Roman" w:hAnsi="Times New Roman" w:cs="Times New Roman"/>
          <w:sz w:val="24"/>
          <w:szCs w:val="24"/>
        </w:rPr>
      </w:pPr>
      <w:r w:rsidRPr="006766D9">
        <w:rPr>
          <w:rFonts w:ascii="Times New Roman" w:hAnsi="Times New Roman" w:cs="Times New Roman"/>
          <w:sz w:val="24"/>
          <w:szCs w:val="24"/>
        </w:rPr>
        <w:t xml:space="preserve">The New Definition of Sexual Harassment-How </w:t>
      </w:r>
      <w:r w:rsidR="00814534">
        <w:rPr>
          <w:rFonts w:ascii="Times New Roman" w:hAnsi="Times New Roman" w:cs="Times New Roman"/>
          <w:sz w:val="24"/>
          <w:szCs w:val="24"/>
        </w:rPr>
        <w:t>T</w:t>
      </w:r>
      <w:r w:rsidRPr="006766D9">
        <w:rPr>
          <w:rFonts w:ascii="Times New Roman" w:hAnsi="Times New Roman" w:cs="Times New Roman"/>
          <w:sz w:val="24"/>
          <w:szCs w:val="24"/>
        </w:rPr>
        <w:t xml:space="preserve">his </w:t>
      </w:r>
      <w:r w:rsidR="00814534">
        <w:rPr>
          <w:rFonts w:ascii="Times New Roman" w:hAnsi="Times New Roman" w:cs="Times New Roman"/>
          <w:sz w:val="24"/>
          <w:szCs w:val="24"/>
        </w:rPr>
        <w:t>A</w:t>
      </w:r>
      <w:r w:rsidRPr="006766D9">
        <w:rPr>
          <w:rFonts w:ascii="Times New Roman" w:hAnsi="Times New Roman" w:cs="Times New Roman"/>
          <w:sz w:val="24"/>
          <w:szCs w:val="24"/>
        </w:rPr>
        <w:t xml:space="preserve">ffects </w:t>
      </w:r>
      <w:r w:rsidR="00814534">
        <w:rPr>
          <w:rFonts w:ascii="Times New Roman" w:hAnsi="Times New Roman" w:cs="Times New Roman"/>
          <w:sz w:val="24"/>
          <w:szCs w:val="24"/>
        </w:rPr>
        <w:t>Y</w:t>
      </w:r>
      <w:r w:rsidRPr="006766D9">
        <w:rPr>
          <w:rFonts w:ascii="Times New Roman" w:hAnsi="Times New Roman" w:cs="Times New Roman"/>
          <w:sz w:val="24"/>
          <w:szCs w:val="24"/>
        </w:rPr>
        <w:t>our Grievance Proces</w:t>
      </w:r>
      <w:r w:rsidR="00275FA7" w:rsidRPr="006766D9">
        <w:rPr>
          <w:rFonts w:ascii="Times New Roman" w:hAnsi="Times New Roman" w:cs="Times New Roman"/>
          <w:sz w:val="24"/>
          <w:szCs w:val="24"/>
        </w:rPr>
        <w:t>s.</w:t>
      </w:r>
      <w:r w:rsidR="003C6F63">
        <w:rPr>
          <w:rFonts w:ascii="Times New Roman" w:hAnsi="Times New Roman" w:cs="Times New Roman"/>
          <w:sz w:val="24"/>
          <w:szCs w:val="24"/>
        </w:rPr>
        <w:t xml:space="preserve"> (</w:t>
      </w:r>
      <w:bookmarkStart w:id="0" w:name="_bookmark0"/>
      <w:bookmarkEnd w:id="0"/>
      <w:r w:rsidR="003C6F63" w:rsidRPr="003C6F63">
        <w:rPr>
          <w:rFonts w:ascii="Times New Roman" w:hAnsi="Times New Roman" w:cs="Times New Roman"/>
          <w:bCs/>
          <w:sz w:val="24"/>
          <w:szCs w:val="24"/>
        </w:rPr>
        <w:t>34 C.F.R. § 106.30(a)</w:t>
      </w:r>
      <w:r w:rsidR="00A367B7">
        <w:rPr>
          <w:rFonts w:ascii="Times New Roman" w:hAnsi="Times New Roman" w:cs="Times New Roman"/>
          <w:sz w:val="24"/>
          <w:szCs w:val="24"/>
        </w:rPr>
        <w:t>)</w:t>
      </w:r>
    </w:p>
    <w:p w14:paraId="560EFAB8" w14:textId="77777777" w:rsidR="00275FA7" w:rsidRPr="006766D9" w:rsidRDefault="00275FA7" w:rsidP="003F23FB">
      <w:pPr>
        <w:pStyle w:val="ListParagraph"/>
        <w:numPr>
          <w:ilvl w:val="1"/>
          <w:numId w:val="7"/>
        </w:numPr>
        <w:ind w:hanging="720"/>
        <w:rPr>
          <w:rFonts w:ascii="Times New Roman" w:hAnsi="Times New Roman" w:cs="Times New Roman"/>
          <w:sz w:val="24"/>
          <w:szCs w:val="24"/>
        </w:rPr>
      </w:pPr>
      <w:r w:rsidRPr="006766D9">
        <w:rPr>
          <w:rFonts w:ascii="Times New Roman" w:hAnsi="Times New Roman" w:cs="Times New Roman"/>
          <w:sz w:val="24"/>
          <w:szCs w:val="24"/>
        </w:rPr>
        <w:t>Narrowing of complaints to those that meet the definition</w:t>
      </w:r>
      <w:r w:rsidR="00D97C59">
        <w:rPr>
          <w:rFonts w:ascii="Times New Roman" w:hAnsi="Times New Roman" w:cs="Times New Roman"/>
          <w:sz w:val="24"/>
          <w:szCs w:val="24"/>
        </w:rPr>
        <w:t>.</w:t>
      </w:r>
    </w:p>
    <w:p w14:paraId="17B54461" w14:textId="77777777" w:rsidR="00275FA7" w:rsidRPr="006766D9" w:rsidRDefault="00275FA7" w:rsidP="003F23FB">
      <w:pPr>
        <w:pStyle w:val="ListParagraph"/>
        <w:numPr>
          <w:ilvl w:val="1"/>
          <w:numId w:val="7"/>
        </w:numPr>
        <w:ind w:hanging="720"/>
        <w:rPr>
          <w:rFonts w:ascii="Times New Roman" w:hAnsi="Times New Roman" w:cs="Times New Roman"/>
          <w:sz w:val="24"/>
          <w:szCs w:val="24"/>
        </w:rPr>
      </w:pPr>
      <w:r w:rsidRPr="006766D9">
        <w:rPr>
          <w:rFonts w:ascii="Times New Roman" w:hAnsi="Times New Roman" w:cs="Times New Roman"/>
          <w:sz w:val="24"/>
          <w:szCs w:val="24"/>
        </w:rPr>
        <w:t xml:space="preserve">Ensuring your Title IX Coordinator receives </w:t>
      </w:r>
      <w:r w:rsidR="005B7EDB">
        <w:rPr>
          <w:rFonts w:ascii="Times New Roman" w:hAnsi="Times New Roman" w:cs="Times New Roman"/>
          <w:sz w:val="24"/>
          <w:szCs w:val="24"/>
        </w:rPr>
        <w:t xml:space="preserve">and properly maintains </w:t>
      </w:r>
      <w:r w:rsidRPr="006766D9">
        <w:rPr>
          <w:rFonts w:ascii="Times New Roman" w:hAnsi="Times New Roman" w:cs="Times New Roman"/>
          <w:sz w:val="24"/>
          <w:szCs w:val="24"/>
        </w:rPr>
        <w:t>all reports of sexual misconduct</w:t>
      </w:r>
      <w:r w:rsidR="00D97C59">
        <w:rPr>
          <w:rFonts w:ascii="Times New Roman" w:hAnsi="Times New Roman" w:cs="Times New Roman"/>
          <w:sz w:val="24"/>
          <w:szCs w:val="24"/>
        </w:rPr>
        <w:t>.</w:t>
      </w:r>
    </w:p>
    <w:p w14:paraId="200D076B" w14:textId="20C19824" w:rsidR="00275FA7" w:rsidRPr="006766D9" w:rsidRDefault="00275FA7" w:rsidP="003F23FB">
      <w:pPr>
        <w:pStyle w:val="ListParagraph"/>
        <w:numPr>
          <w:ilvl w:val="1"/>
          <w:numId w:val="7"/>
        </w:numPr>
        <w:ind w:hanging="720"/>
        <w:rPr>
          <w:rFonts w:ascii="Times New Roman" w:hAnsi="Times New Roman" w:cs="Times New Roman"/>
          <w:sz w:val="24"/>
          <w:szCs w:val="24"/>
        </w:rPr>
      </w:pPr>
      <w:r w:rsidRPr="006766D9">
        <w:rPr>
          <w:rFonts w:ascii="Times New Roman" w:hAnsi="Times New Roman" w:cs="Times New Roman"/>
          <w:sz w:val="24"/>
          <w:szCs w:val="24"/>
        </w:rPr>
        <w:t>VDOE Codes</w:t>
      </w:r>
      <w:r w:rsidR="005376C6" w:rsidRPr="006766D9">
        <w:rPr>
          <w:rFonts w:ascii="Times New Roman" w:hAnsi="Times New Roman" w:cs="Times New Roman"/>
          <w:sz w:val="24"/>
          <w:szCs w:val="24"/>
        </w:rPr>
        <w:t xml:space="preserve"> and reporting</w:t>
      </w:r>
      <w:r w:rsidR="0054013B">
        <w:rPr>
          <w:rFonts w:ascii="Times New Roman" w:hAnsi="Times New Roman" w:cs="Times New Roman"/>
          <w:sz w:val="24"/>
          <w:szCs w:val="24"/>
        </w:rPr>
        <w:t xml:space="preserve"> requirements</w:t>
      </w:r>
      <w:r w:rsidR="00D97C59">
        <w:rPr>
          <w:rFonts w:ascii="Times New Roman" w:hAnsi="Times New Roman" w:cs="Times New Roman"/>
          <w:sz w:val="24"/>
          <w:szCs w:val="24"/>
        </w:rPr>
        <w:t>.</w:t>
      </w:r>
    </w:p>
    <w:p w14:paraId="2EE266F8" w14:textId="77777777" w:rsidR="00275FA7" w:rsidRPr="006766D9" w:rsidRDefault="00275FA7" w:rsidP="003F23FB">
      <w:pPr>
        <w:pStyle w:val="ListParagraph"/>
        <w:numPr>
          <w:ilvl w:val="1"/>
          <w:numId w:val="7"/>
        </w:numPr>
        <w:ind w:hanging="720"/>
        <w:rPr>
          <w:rFonts w:ascii="Times New Roman" w:hAnsi="Times New Roman" w:cs="Times New Roman"/>
          <w:sz w:val="24"/>
          <w:szCs w:val="24"/>
        </w:rPr>
      </w:pPr>
      <w:r w:rsidRPr="006766D9">
        <w:rPr>
          <w:rFonts w:ascii="Times New Roman" w:hAnsi="Times New Roman" w:cs="Times New Roman"/>
          <w:sz w:val="24"/>
          <w:szCs w:val="24"/>
        </w:rPr>
        <w:t>Adjust the definitions in your student disciplinary code accordingly</w:t>
      </w:r>
      <w:r w:rsidR="00D97C59">
        <w:rPr>
          <w:rFonts w:ascii="Times New Roman" w:hAnsi="Times New Roman" w:cs="Times New Roman"/>
          <w:sz w:val="24"/>
          <w:szCs w:val="24"/>
        </w:rPr>
        <w:t>.</w:t>
      </w:r>
    </w:p>
    <w:p w14:paraId="3E94FC6E" w14:textId="77777777" w:rsidR="003D0B96" w:rsidRPr="006766D9" w:rsidRDefault="003D0B96" w:rsidP="003F23FB">
      <w:pPr>
        <w:pStyle w:val="ListParagraph"/>
        <w:numPr>
          <w:ilvl w:val="1"/>
          <w:numId w:val="7"/>
        </w:numPr>
        <w:ind w:hanging="720"/>
        <w:rPr>
          <w:rFonts w:ascii="Times New Roman" w:hAnsi="Times New Roman" w:cs="Times New Roman"/>
          <w:sz w:val="24"/>
          <w:szCs w:val="24"/>
        </w:rPr>
      </w:pPr>
      <w:r w:rsidRPr="006766D9">
        <w:rPr>
          <w:rFonts w:ascii="Times New Roman" w:hAnsi="Times New Roman" w:cs="Times New Roman"/>
          <w:sz w:val="24"/>
          <w:szCs w:val="24"/>
        </w:rPr>
        <w:t>Process all non-Title IX sexual misconduct as disciplinary matters</w:t>
      </w:r>
      <w:r w:rsidR="00D97C59">
        <w:rPr>
          <w:rFonts w:ascii="Times New Roman" w:hAnsi="Times New Roman" w:cs="Times New Roman"/>
          <w:sz w:val="24"/>
          <w:szCs w:val="24"/>
        </w:rPr>
        <w:t>.</w:t>
      </w:r>
    </w:p>
    <w:p w14:paraId="74A4D49C" w14:textId="77777777" w:rsidR="003D0B96" w:rsidRDefault="003D0B96" w:rsidP="003F23FB">
      <w:pPr>
        <w:pStyle w:val="ListParagraph"/>
        <w:numPr>
          <w:ilvl w:val="1"/>
          <w:numId w:val="7"/>
        </w:numPr>
        <w:spacing w:after="240"/>
        <w:ind w:hanging="720"/>
        <w:contextualSpacing w:val="0"/>
        <w:rPr>
          <w:rFonts w:ascii="Times New Roman" w:hAnsi="Times New Roman" w:cs="Times New Roman"/>
          <w:sz w:val="24"/>
          <w:szCs w:val="24"/>
        </w:rPr>
      </w:pPr>
      <w:r w:rsidRPr="006766D9">
        <w:rPr>
          <w:rFonts w:ascii="Times New Roman" w:hAnsi="Times New Roman" w:cs="Times New Roman"/>
          <w:sz w:val="24"/>
          <w:szCs w:val="24"/>
        </w:rPr>
        <w:t>Remember Title IX also covers harassment based on pregnancy and parental status</w:t>
      </w:r>
      <w:r w:rsidR="00D97C59">
        <w:rPr>
          <w:rFonts w:ascii="Times New Roman" w:hAnsi="Times New Roman" w:cs="Times New Roman"/>
          <w:sz w:val="24"/>
          <w:szCs w:val="24"/>
        </w:rPr>
        <w:t>.</w:t>
      </w:r>
    </w:p>
    <w:p w14:paraId="727D5DE7" w14:textId="61033432" w:rsidR="005B7EDB" w:rsidRDefault="005B7EDB" w:rsidP="003F23FB">
      <w:pPr>
        <w:pStyle w:val="ListParagraph"/>
        <w:numPr>
          <w:ilvl w:val="0"/>
          <w:numId w:val="1"/>
        </w:numPr>
        <w:spacing w:after="240"/>
        <w:ind w:hanging="720"/>
        <w:contextualSpacing w:val="0"/>
        <w:rPr>
          <w:rFonts w:ascii="Times New Roman" w:hAnsi="Times New Roman" w:cs="Times New Roman"/>
          <w:sz w:val="24"/>
          <w:szCs w:val="24"/>
        </w:rPr>
      </w:pPr>
      <w:r w:rsidRPr="00814534">
        <w:rPr>
          <w:rFonts w:ascii="Times New Roman" w:hAnsi="Times New Roman" w:cs="Times New Roman"/>
          <w:sz w:val="24"/>
          <w:szCs w:val="24"/>
        </w:rPr>
        <w:t>Training</w:t>
      </w:r>
      <w:r w:rsidR="00383318">
        <w:rPr>
          <w:rFonts w:ascii="Times New Roman" w:hAnsi="Times New Roman" w:cs="Times New Roman"/>
          <w:sz w:val="24"/>
          <w:szCs w:val="24"/>
        </w:rPr>
        <w:t xml:space="preserve"> Issues</w:t>
      </w:r>
      <w:r w:rsidRPr="00814534">
        <w:rPr>
          <w:rFonts w:ascii="Times New Roman" w:hAnsi="Times New Roman" w:cs="Times New Roman"/>
          <w:sz w:val="24"/>
          <w:szCs w:val="24"/>
        </w:rPr>
        <w:t xml:space="preserve"> – </w:t>
      </w:r>
      <w:r w:rsidR="00814534">
        <w:rPr>
          <w:rFonts w:ascii="Times New Roman" w:hAnsi="Times New Roman" w:cs="Times New Roman"/>
          <w:sz w:val="24"/>
          <w:szCs w:val="24"/>
        </w:rPr>
        <w:t>W</w:t>
      </w:r>
      <w:r w:rsidRPr="00814534">
        <w:rPr>
          <w:rFonts w:ascii="Times New Roman" w:hAnsi="Times New Roman" w:cs="Times New Roman"/>
          <w:sz w:val="24"/>
          <w:szCs w:val="24"/>
        </w:rPr>
        <w:t xml:space="preserve">ho, </w:t>
      </w:r>
      <w:r w:rsidR="00814534">
        <w:rPr>
          <w:rFonts w:ascii="Times New Roman" w:hAnsi="Times New Roman" w:cs="Times New Roman"/>
          <w:sz w:val="24"/>
          <w:szCs w:val="24"/>
        </w:rPr>
        <w:t>H</w:t>
      </w:r>
      <w:r w:rsidRPr="00814534">
        <w:rPr>
          <w:rFonts w:ascii="Times New Roman" w:hAnsi="Times New Roman" w:cs="Times New Roman"/>
          <w:sz w:val="24"/>
          <w:szCs w:val="24"/>
        </w:rPr>
        <w:t xml:space="preserve">ow, </w:t>
      </w:r>
      <w:r w:rsidR="00814534">
        <w:rPr>
          <w:rFonts w:ascii="Times New Roman" w:hAnsi="Times New Roman" w:cs="Times New Roman"/>
          <w:sz w:val="24"/>
          <w:szCs w:val="24"/>
        </w:rPr>
        <w:t>and on W</w:t>
      </w:r>
      <w:r w:rsidRPr="00814534">
        <w:rPr>
          <w:rFonts w:ascii="Times New Roman" w:hAnsi="Times New Roman" w:cs="Times New Roman"/>
          <w:sz w:val="24"/>
          <w:szCs w:val="24"/>
        </w:rPr>
        <w:t>hat</w:t>
      </w:r>
      <w:r w:rsidR="00814534">
        <w:rPr>
          <w:rFonts w:ascii="Times New Roman" w:hAnsi="Times New Roman" w:cs="Times New Roman"/>
          <w:sz w:val="24"/>
          <w:szCs w:val="24"/>
        </w:rPr>
        <w:t>.</w:t>
      </w:r>
    </w:p>
    <w:p w14:paraId="2509707C" w14:textId="7F84E9D0" w:rsidR="005248D0" w:rsidRPr="005248D0" w:rsidRDefault="005248D0" w:rsidP="005248D0">
      <w:pPr>
        <w:pStyle w:val="ListParagraph"/>
        <w:numPr>
          <w:ilvl w:val="0"/>
          <w:numId w:val="12"/>
        </w:numPr>
        <w:spacing w:after="240"/>
        <w:rPr>
          <w:rFonts w:ascii="Times New Roman" w:hAnsi="Times New Roman" w:cs="Times New Roman"/>
          <w:sz w:val="24"/>
          <w:szCs w:val="24"/>
        </w:rPr>
      </w:pPr>
      <w:r w:rsidRPr="005248D0">
        <w:rPr>
          <w:rFonts w:ascii="Times New Roman" w:hAnsi="Times New Roman" w:cs="Times New Roman"/>
          <w:sz w:val="24"/>
          <w:szCs w:val="24"/>
        </w:rPr>
        <w:t>Notice to Title IX coordinator or “any official of the recipient who has authority to institute corrective measures on behalf of the recipient</w:t>
      </w:r>
      <w:r w:rsidR="003C6F63">
        <w:rPr>
          <w:rFonts w:ascii="Times New Roman" w:hAnsi="Times New Roman" w:cs="Times New Roman"/>
          <w:sz w:val="24"/>
          <w:szCs w:val="24"/>
        </w:rPr>
        <w:t>.</w:t>
      </w:r>
      <w:r w:rsidRPr="005248D0">
        <w:rPr>
          <w:rFonts w:ascii="Times New Roman" w:hAnsi="Times New Roman" w:cs="Times New Roman"/>
          <w:sz w:val="24"/>
          <w:szCs w:val="24"/>
        </w:rPr>
        <w:t>”</w:t>
      </w:r>
    </w:p>
    <w:p w14:paraId="6FED1F13" w14:textId="77777777" w:rsidR="003C6F63" w:rsidRDefault="0067762B" w:rsidP="003C6F63">
      <w:pPr>
        <w:pStyle w:val="ListParagraph"/>
        <w:numPr>
          <w:ilvl w:val="0"/>
          <w:numId w:val="12"/>
        </w:numPr>
        <w:spacing w:after="240"/>
        <w:rPr>
          <w:rFonts w:ascii="Times New Roman" w:hAnsi="Times New Roman" w:cs="Times New Roman"/>
          <w:sz w:val="24"/>
          <w:szCs w:val="24"/>
        </w:rPr>
      </w:pPr>
      <w:r w:rsidRPr="003C6F63">
        <w:rPr>
          <w:rFonts w:ascii="Times New Roman" w:hAnsi="Times New Roman" w:cs="Times New Roman"/>
          <w:i/>
          <w:sz w:val="24"/>
          <w:szCs w:val="24"/>
        </w:rPr>
        <w:t>Any employee</w:t>
      </w:r>
      <w:r w:rsidR="005248D0" w:rsidRPr="005248D0">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5248D0" w:rsidRPr="005248D0">
        <w:rPr>
          <w:rFonts w:ascii="Times New Roman" w:hAnsi="Times New Roman" w:cs="Times New Roman"/>
          <w:sz w:val="24"/>
          <w:szCs w:val="24"/>
        </w:rPr>
        <w:t xml:space="preserve">K-12 </w:t>
      </w:r>
      <w:proofErr w:type="gramStart"/>
      <w:r w:rsidR="005248D0" w:rsidRPr="005248D0">
        <w:rPr>
          <w:rFonts w:ascii="Times New Roman" w:hAnsi="Times New Roman" w:cs="Times New Roman"/>
          <w:sz w:val="24"/>
          <w:szCs w:val="24"/>
        </w:rPr>
        <w:t>schools, because</w:t>
      </w:r>
      <w:proofErr w:type="gramEnd"/>
      <w:r w:rsidR="005248D0" w:rsidRPr="005248D0">
        <w:rPr>
          <w:rFonts w:ascii="Times New Roman" w:hAnsi="Times New Roman" w:cs="Times New Roman"/>
          <w:sz w:val="24"/>
          <w:szCs w:val="24"/>
        </w:rPr>
        <w:t xml:space="preserve"> they all have the power to </w:t>
      </w:r>
      <w:r>
        <w:rPr>
          <w:rFonts w:ascii="Times New Roman" w:hAnsi="Times New Roman" w:cs="Times New Roman"/>
          <w:sz w:val="24"/>
          <w:szCs w:val="24"/>
        </w:rPr>
        <w:t xml:space="preserve">“institute” </w:t>
      </w:r>
      <w:r w:rsidR="005248D0" w:rsidRPr="005248D0">
        <w:rPr>
          <w:rFonts w:ascii="Times New Roman" w:hAnsi="Times New Roman" w:cs="Times New Roman"/>
          <w:sz w:val="24"/>
          <w:szCs w:val="24"/>
        </w:rPr>
        <w:t>discipline</w:t>
      </w:r>
      <w:r w:rsidR="003C6F63">
        <w:rPr>
          <w:rFonts w:ascii="Times New Roman" w:hAnsi="Times New Roman" w:cs="Times New Roman"/>
          <w:sz w:val="24"/>
          <w:szCs w:val="24"/>
        </w:rPr>
        <w:t xml:space="preserve">.  </w:t>
      </w:r>
      <w:bookmarkStart w:id="1" w:name="_bookmark2"/>
      <w:bookmarkStart w:id="2" w:name="_bookmark1"/>
      <w:bookmarkEnd w:id="1"/>
      <w:bookmarkEnd w:id="2"/>
    </w:p>
    <w:p w14:paraId="2250BA8A" w14:textId="36964557" w:rsidR="003C6F63" w:rsidRDefault="003C6F63" w:rsidP="003C6F63">
      <w:pPr>
        <w:pStyle w:val="ListParagraph"/>
        <w:numPr>
          <w:ilvl w:val="0"/>
          <w:numId w:val="12"/>
        </w:numPr>
        <w:spacing w:after="240"/>
        <w:rPr>
          <w:rFonts w:ascii="Times New Roman" w:hAnsi="Times New Roman" w:cs="Times New Roman"/>
          <w:sz w:val="24"/>
          <w:szCs w:val="24"/>
        </w:rPr>
      </w:pPr>
      <w:r>
        <w:rPr>
          <w:rFonts w:ascii="Times New Roman" w:hAnsi="Times New Roman" w:cs="Times New Roman"/>
          <w:sz w:val="24"/>
          <w:szCs w:val="24"/>
        </w:rPr>
        <w:t>T</w:t>
      </w:r>
      <w:r w:rsidRPr="003C6F63">
        <w:rPr>
          <w:rFonts w:ascii="Times New Roman" w:hAnsi="Times New Roman" w:cs="Times New Roman"/>
          <w:sz w:val="24"/>
          <w:szCs w:val="24"/>
        </w:rPr>
        <w:t xml:space="preserve">he </w:t>
      </w:r>
      <w:r>
        <w:rPr>
          <w:rFonts w:ascii="Times New Roman" w:hAnsi="Times New Roman" w:cs="Times New Roman"/>
          <w:sz w:val="24"/>
          <w:szCs w:val="24"/>
        </w:rPr>
        <w:t>regulation</w:t>
      </w:r>
      <w:r w:rsidRPr="003C6F63">
        <w:rPr>
          <w:rFonts w:ascii="Times New Roman" w:hAnsi="Times New Roman" w:cs="Times New Roman"/>
          <w:sz w:val="24"/>
          <w:szCs w:val="24"/>
        </w:rPr>
        <w:t xml:space="preserve"> defines </w:t>
      </w:r>
      <w:r w:rsidRPr="003C6F63">
        <w:rPr>
          <w:rFonts w:ascii="Times New Roman" w:hAnsi="Times New Roman" w:cs="Times New Roman"/>
          <w:i/>
          <w:iCs/>
          <w:sz w:val="24"/>
          <w:szCs w:val="24"/>
        </w:rPr>
        <w:t xml:space="preserve">actual knowledge </w:t>
      </w:r>
      <w:r w:rsidRPr="003C6F63">
        <w:rPr>
          <w:rFonts w:ascii="Times New Roman" w:hAnsi="Times New Roman" w:cs="Times New Roman"/>
          <w:sz w:val="24"/>
          <w:szCs w:val="24"/>
        </w:rPr>
        <w:t>of sexual harassment</w:t>
      </w:r>
      <w:r>
        <w:rPr>
          <w:rFonts w:ascii="Times New Roman" w:hAnsi="Times New Roman" w:cs="Times New Roman"/>
          <w:sz w:val="24"/>
          <w:szCs w:val="24"/>
        </w:rPr>
        <w:t xml:space="preserve"> </w:t>
      </w:r>
      <w:r w:rsidRPr="003C6F63">
        <w:rPr>
          <w:rFonts w:ascii="Times New Roman" w:hAnsi="Times New Roman" w:cs="Times New Roman"/>
          <w:sz w:val="24"/>
          <w:szCs w:val="24"/>
        </w:rPr>
        <w:t>as notice of sexual harassment or allegations of sexual harassment to any employee. 34 C.F.R. § 106.30(a). Note that this is a change from the 2018 Notice of Proposed Rulemaking, which, for purposes of student-to-student sexual harassment, would ha</w:t>
      </w:r>
      <w:r>
        <w:rPr>
          <w:rFonts w:ascii="Times New Roman" w:hAnsi="Times New Roman" w:cs="Times New Roman"/>
          <w:sz w:val="24"/>
          <w:szCs w:val="24"/>
        </w:rPr>
        <w:t xml:space="preserve">ve imputed actual knowledge to </w:t>
      </w:r>
      <w:r w:rsidRPr="003C6F63">
        <w:rPr>
          <w:rFonts w:ascii="Times New Roman" w:hAnsi="Times New Roman" w:cs="Times New Roman"/>
          <w:sz w:val="24"/>
          <w:szCs w:val="24"/>
        </w:rPr>
        <w:t xml:space="preserve">recipient based on notice to a K-12 </w:t>
      </w:r>
      <w:r w:rsidRPr="003C6F63">
        <w:rPr>
          <w:rFonts w:ascii="Times New Roman" w:hAnsi="Times New Roman" w:cs="Times New Roman"/>
          <w:i/>
          <w:sz w:val="24"/>
          <w:szCs w:val="24"/>
        </w:rPr>
        <w:t>teacher</w:t>
      </w:r>
      <w:r w:rsidRPr="003C6F63">
        <w:rPr>
          <w:rFonts w:ascii="Times New Roman" w:hAnsi="Times New Roman" w:cs="Times New Roman"/>
          <w:sz w:val="24"/>
          <w:szCs w:val="24"/>
        </w:rPr>
        <w:t>.</w:t>
      </w:r>
    </w:p>
    <w:p w14:paraId="3DEEE9A8" w14:textId="77777777" w:rsidR="003C6F63" w:rsidRPr="003C6F63" w:rsidRDefault="003C6F63" w:rsidP="003C6F63">
      <w:pPr>
        <w:pStyle w:val="ListParagraph"/>
        <w:spacing w:after="240"/>
        <w:ind w:left="1440"/>
        <w:rPr>
          <w:rFonts w:ascii="Times New Roman" w:hAnsi="Times New Roman" w:cs="Times New Roman"/>
          <w:sz w:val="24"/>
          <w:szCs w:val="24"/>
        </w:rPr>
      </w:pPr>
    </w:p>
    <w:p w14:paraId="4E886339" w14:textId="6AF0EAB1" w:rsidR="00F90119" w:rsidRPr="00383318" w:rsidRDefault="00F90119" w:rsidP="003F23FB">
      <w:pPr>
        <w:pStyle w:val="ListParagraph"/>
        <w:numPr>
          <w:ilvl w:val="0"/>
          <w:numId w:val="1"/>
        </w:numPr>
        <w:spacing w:after="240"/>
        <w:ind w:hanging="720"/>
        <w:contextualSpacing w:val="0"/>
        <w:rPr>
          <w:rFonts w:ascii="Times New Roman" w:hAnsi="Times New Roman" w:cs="Times New Roman"/>
          <w:sz w:val="24"/>
          <w:szCs w:val="24"/>
        </w:rPr>
      </w:pPr>
      <w:r w:rsidRPr="00383318">
        <w:rPr>
          <w:rFonts w:ascii="Times New Roman" w:hAnsi="Times New Roman" w:cs="Times New Roman"/>
          <w:sz w:val="24"/>
          <w:szCs w:val="24"/>
        </w:rPr>
        <w:t xml:space="preserve">Virginia’s </w:t>
      </w:r>
      <w:r w:rsidR="0054013B" w:rsidRPr="00383318">
        <w:rPr>
          <w:rFonts w:ascii="Times New Roman" w:hAnsi="Times New Roman" w:cs="Times New Roman"/>
          <w:sz w:val="24"/>
          <w:szCs w:val="24"/>
        </w:rPr>
        <w:t>S</w:t>
      </w:r>
      <w:r w:rsidRPr="00383318">
        <w:rPr>
          <w:rFonts w:ascii="Times New Roman" w:hAnsi="Times New Roman" w:cs="Times New Roman"/>
          <w:sz w:val="24"/>
          <w:szCs w:val="24"/>
        </w:rPr>
        <w:t xml:space="preserve">tatutory </w:t>
      </w:r>
      <w:r w:rsidR="0054013B" w:rsidRPr="00383318">
        <w:rPr>
          <w:rFonts w:ascii="Times New Roman" w:hAnsi="Times New Roman" w:cs="Times New Roman"/>
          <w:sz w:val="24"/>
          <w:szCs w:val="24"/>
        </w:rPr>
        <w:t>R</w:t>
      </w:r>
      <w:r w:rsidRPr="00383318">
        <w:rPr>
          <w:rFonts w:ascii="Times New Roman" w:hAnsi="Times New Roman" w:cs="Times New Roman"/>
          <w:sz w:val="24"/>
          <w:szCs w:val="24"/>
        </w:rPr>
        <w:t>equirements for Student Discipline</w:t>
      </w:r>
      <w:r w:rsidR="006766D9" w:rsidRPr="00383318">
        <w:rPr>
          <w:rFonts w:ascii="Times New Roman" w:hAnsi="Times New Roman" w:cs="Times New Roman"/>
          <w:sz w:val="24"/>
          <w:szCs w:val="24"/>
        </w:rPr>
        <w:t>.</w:t>
      </w:r>
    </w:p>
    <w:p w14:paraId="615368BB" w14:textId="77777777" w:rsidR="00F90119" w:rsidRPr="006766D9" w:rsidRDefault="00207CF7" w:rsidP="00634EFE">
      <w:pPr>
        <w:pStyle w:val="ListParagraph"/>
        <w:numPr>
          <w:ilvl w:val="1"/>
          <w:numId w:val="9"/>
        </w:numPr>
        <w:ind w:hanging="720"/>
        <w:rPr>
          <w:rFonts w:ascii="Times New Roman" w:hAnsi="Times New Roman" w:cs="Times New Roman"/>
          <w:sz w:val="24"/>
          <w:szCs w:val="24"/>
        </w:rPr>
      </w:pPr>
      <w:r w:rsidRPr="006766D9">
        <w:rPr>
          <w:rFonts w:ascii="Times New Roman" w:hAnsi="Times New Roman" w:cs="Times New Roman"/>
          <w:sz w:val="24"/>
          <w:szCs w:val="24"/>
        </w:rPr>
        <w:t xml:space="preserve">Delaying discipline pending resolution of the Title IX </w:t>
      </w:r>
      <w:r w:rsidR="00275FA7" w:rsidRPr="006766D9">
        <w:rPr>
          <w:rFonts w:ascii="Times New Roman" w:hAnsi="Times New Roman" w:cs="Times New Roman"/>
          <w:sz w:val="24"/>
          <w:szCs w:val="24"/>
        </w:rPr>
        <w:t>Grievance</w:t>
      </w:r>
      <w:r w:rsidRPr="006766D9">
        <w:rPr>
          <w:rFonts w:ascii="Times New Roman" w:hAnsi="Times New Roman" w:cs="Times New Roman"/>
          <w:sz w:val="24"/>
          <w:szCs w:val="24"/>
        </w:rPr>
        <w:t xml:space="preserve"> Process</w:t>
      </w:r>
      <w:r w:rsidR="006766D9">
        <w:rPr>
          <w:rFonts w:ascii="Times New Roman" w:hAnsi="Times New Roman" w:cs="Times New Roman"/>
          <w:sz w:val="24"/>
          <w:szCs w:val="24"/>
        </w:rPr>
        <w:t>.</w:t>
      </w:r>
    </w:p>
    <w:p w14:paraId="57E5C4C5" w14:textId="0D0E5805" w:rsidR="00275FA7" w:rsidRPr="006766D9" w:rsidRDefault="00207CF7" w:rsidP="00634EFE">
      <w:pPr>
        <w:pStyle w:val="ListParagraph"/>
        <w:numPr>
          <w:ilvl w:val="1"/>
          <w:numId w:val="9"/>
        </w:numPr>
        <w:ind w:hanging="720"/>
        <w:rPr>
          <w:rFonts w:ascii="Times New Roman" w:hAnsi="Times New Roman" w:cs="Times New Roman"/>
          <w:sz w:val="24"/>
          <w:szCs w:val="24"/>
        </w:rPr>
      </w:pPr>
      <w:r w:rsidRPr="006766D9">
        <w:rPr>
          <w:rFonts w:ascii="Times New Roman" w:hAnsi="Times New Roman" w:cs="Times New Roman"/>
          <w:sz w:val="24"/>
          <w:szCs w:val="24"/>
        </w:rPr>
        <w:t>Pr</w:t>
      </w:r>
      <w:r w:rsidR="00275FA7" w:rsidRPr="006766D9">
        <w:rPr>
          <w:rFonts w:ascii="Times New Roman" w:hAnsi="Times New Roman" w:cs="Times New Roman"/>
          <w:sz w:val="24"/>
          <w:szCs w:val="24"/>
        </w:rPr>
        <w:t xml:space="preserve">oviding a disciplinary hearing and holding suspension, </w:t>
      </w:r>
      <w:r w:rsidR="00814534" w:rsidRPr="006766D9">
        <w:rPr>
          <w:rFonts w:ascii="Times New Roman" w:hAnsi="Times New Roman" w:cs="Times New Roman"/>
          <w:sz w:val="24"/>
          <w:szCs w:val="24"/>
        </w:rPr>
        <w:t>reassignment,</w:t>
      </w:r>
      <w:r w:rsidR="00275FA7" w:rsidRPr="006766D9">
        <w:rPr>
          <w:rFonts w:ascii="Times New Roman" w:hAnsi="Times New Roman" w:cs="Times New Roman"/>
          <w:sz w:val="24"/>
          <w:szCs w:val="24"/>
        </w:rPr>
        <w:t xml:space="preserve"> or expulsion in abeyance</w:t>
      </w:r>
      <w:r w:rsidR="003C6F63">
        <w:rPr>
          <w:rFonts w:ascii="Times New Roman" w:hAnsi="Times New Roman" w:cs="Times New Roman"/>
          <w:sz w:val="24"/>
          <w:szCs w:val="24"/>
        </w:rPr>
        <w:t>.</w:t>
      </w:r>
    </w:p>
    <w:p w14:paraId="24BA968E" w14:textId="77777777" w:rsidR="00275FA7" w:rsidRPr="006766D9" w:rsidRDefault="00275FA7" w:rsidP="00634EFE">
      <w:pPr>
        <w:pStyle w:val="ListParagraph"/>
        <w:numPr>
          <w:ilvl w:val="1"/>
          <w:numId w:val="9"/>
        </w:numPr>
        <w:ind w:hanging="720"/>
        <w:rPr>
          <w:rFonts w:ascii="Times New Roman" w:hAnsi="Times New Roman" w:cs="Times New Roman"/>
          <w:sz w:val="24"/>
          <w:szCs w:val="24"/>
        </w:rPr>
      </w:pPr>
      <w:r w:rsidRPr="006766D9">
        <w:rPr>
          <w:rFonts w:ascii="Times New Roman" w:hAnsi="Times New Roman" w:cs="Times New Roman"/>
          <w:sz w:val="24"/>
          <w:szCs w:val="24"/>
        </w:rPr>
        <w:t>Complaints alleging both sexual harassment and another form of discrimination or disciplinary violation</w:t>
      </w:r>
      <w:r w:rsidR="006766D9">
        <w:rPr>
          <w:rFonts w:ascii="Times New Roman" w:hAnsi="Times New Roman" w:cs="Times New Roman"/>
          <w:sz w:val="24"/>
          <w:szCs w:val="24"/>
        </w:rPr>
        <w:t>.</w:t>
      </w:r>
    </w:p>
    <w:p w14:paraId="252E8906" w14:textId="5D12ECFC" w:rsidR="00275FA7" w:rsidRDefault="00275FA7" w:rsidP="00634EFE">
      <w:pPr>
        <w:pStyle w:val="ListParagraph"/>
        <w:numPr>
          <w:ilvl w:val="1"/>
          <w:numId w:val="9"/>
        </w:numPr>
        <w:spacing w:after="240"/>
        <w:ind w:hanging="720"/>
        <w:contextualSpacing w:val="0"/>
        <w:rPr>
          <w:rFonts w:ascii="Times New Roman" w:hAnsi="Times New Roman" w:cs="Times New Roman"/>
          <w:sz w:val="24"/>
          <w:szCs w:val="24"/>
        </w:rPr>
      </w:pPr>
      <w:r w:rsidRPr="006766D9">
        <w:rPr>
          <w:rFonts w:ascii="Times New Roman" w:hAnsi="Times New Roman" w:cs="Times New Roman"/>
          <w:sz w:val="24"/>
          <w:szCs w:val="24"/>
        </w:rPr>
        <w:t>Emergency Removals</w:t>
      </w:r>
      <w:r w:rsidR="006766D9">
        <w:rPr>
          <w:rFonts w:ascii="Times New Roman" w:hAnsi="Times New Roman" w:cs="Times New Roman"/>
          <w:sz w:val="24"/>
          <w:szCs w:val="24"/>
        </w:rPr>
        <w:t>.</w:t>
      </w:r>
    </w:p>
    <w:p w14:paraId="231CF786" w14:textId="77777777" w:rsidR="008D35B1" w:rsidRPr="008D35B1" w:rsidRDefault="008D35B1" w:rsidP="008D35B1">
      <w:pPr>
        <w:spacing w:after="240"/>
        <w:ind w:left="720"/>
        <w:rPr>
          <w:rFonts w:ascii="Times New Roman" w:hAnsi="Times New Roman" w:cs="Times New Roman"/>
          <w:sz w:val="24"/>
          <w:szCs w:val="24"/>
        </w:rPr>
      </w:pPr>
      <w:r w:rsidRPr="008D35B1">
        <w:rPr>
          <w:rFonts w:ascii="Times New Roman" w:hAnsi="Times New Roman" w:cs="Times New Roman"/>
          <w:sz w:val="24"/>
          <w:szCs w:val="24"/>
        </w:rPr>
        <w:t>Can you combine a Title IX hearing with a disciplinary hearing if you hold any discipline in abeyance pending resolution of the Title IX process?</w:t>
      </w:r>
    </w:p>
    <w:p w14:paraId="054B70F1" w14:textId="285B829A" w:rsidR="003D0B96" w:rsidRPr="00383318" w:rsidRDefault="003D0B96" w:rsidP="003F23FB">
      <w:pPr>
        <w:pStyle w:val="ListParagraph"/>
        <w:numPr>
          <w:ilvl w:val="0"/>
          <w:numId w:val="1"/>
        </w:numPr>
        <w:spacing w:after="240"/>
        <w:ind w:hanging="720"/>
        <w:contextualSpacing w:val="0"/>
        <w:rPr>
          <w:rFonts w:ascii="Times New Roman" w:hAnsi="Times New Roman" w:cs="Times New Roman"/>
          <w:sz w:val="24"/>
          <w:szCs w:val="24"/>
        </w:rPr>
      </w:pPr>
      <w:r w:rsidRPr="00383318">
        <w:rPr>
          <w:rFonts w:ascii="Times New Roman" w:hAnsi="Times New Roman" w:cs="Times New Roman"/>
          <w:sz w:val="24"/>
          <w:szCs w:val="24"/>
        </w:rPr>
        <w:lastRenderedPageBreak/>
        <w:t>When the student declines to file a Formal Complaint, when does the Title IX Coordinator do so and initiate an investigation</w:t>
      </w:r>
      <w:r w:rsidR="006766D9" w:rsidRPr="00383318">
        <w:rPr>
          <w:rFonts w:ascii="Times New Roman" w:hAnsi="Times New Roman" w:cs="Times New Roman"/>
          <w:sz w:val="24"/>
          <w:szCs w:val="24"/>
        </w:rPr>
        <w:t>?</w:t>
      </w:r>
    </w:p>
    <w:p w14:paraId="3A388526" w14:textId="77777777" w:rsidR="003D0B96" w:rsidRPr="006766D9" w:rsidRDefault="003D0B96" w:rsidP="003F23FB">
      <w:pPr>
        <w:pStyle w:val="ListParagraph"/>
        <w:numPr>
          <w:ilvl w:val="1"/>
          <w:numId w:val="8"/>
        </w:numPr>
        <w:spacing w:after="0"/>
        <w:ind w:hanging="720"/>
        <w:rPr>
          <w:rFonts w:ascii="Times New Roman" w:hAnsi="Times New Roman" w:cs="Times New Roman"/>
          <w:sz w:val="24"/>
          <w:szCs w:val="24"/>
        </w:rPr>
      </w:pPr>
      <w:r w:rsidRPr="006766D9">
        <w:rPr>
          <w:rFonts w:ascii="Times New Roman" w:hAnsi="Times New Roman" w:cs="Times New Roman"/>
          <w:sz w:val="24"/>
          <w:szCs w:val="24"/>
        </w:rPr>
        <w:t>Where the respondent is an employee</w:t>
      </w:r>
    </w:p>
    <w:p w14:paraId="2558D41B" w14:textId="77777777" w:rsidR="003D0B96" w:rsidRPr="006766D9" w:rsidRDefault="003D0B96" w:rsidP="003F23FB">
      <w:pPr>
        <w:pStyle w:val="ListParagraph"/>
        <w:numPr>
          <w:ilvl w:val="1"/>
          <w:numId w:val="8"/>
        </w:numPr>
        <w:spacing w:after="0"/>
        <w:ind w:hanging="720"/>
        <w:rPr>
          <w:rFonts w:ascii="Times New Roman" w:hAnsi="Times New Roman" w:cs="Times New Roman"/>
          <w:sz w:val="24"/>
          <w:szCs w:val="24"/>
        </w:rPr>
      </w:pPr>
      <w:r w:rsidRPr="006766D9">
        <w:rPr>
          <w:rFonts w:ascii="Times New Roman" w:hAnsi="Times New Roman" w:cs="Times New Roman"/>
          <w:sz w:val="24"/>
          <w:szCs w:val="24"/>
        </w:rPr>
        <w:t>Sexual assaults</w:t>
      </w:r>
    </w:p>
    <w:p w14:paraId="5BCDC65B" w14:textId="77777777" w:rsidR="003D0B96" w:rsidRPr="006766D9" w:rsidRDefault="003D0B96" w:rsidP="003F23FB">
      <w:pPr>
        <w:pStyle w:val="ListParagraph"/>
        <w:numPr>
          <w:ilvl w:val="1"/>
          <w:numId w:val="8"/>
        </w:numPr>
        <w:spacing w:after="0"/>
        <w:ind w:hanging="720"/>
        <w:rPr>
          <w:rFonts w:ascii="Times New Roman" w:hAnsi="Times New Roman" w:cs="Times New Roman"/>
          <w:sz w:val="24"/>
          <w:szCs w:val="24"/>
        </w:rPr>
      </w:pPr>
      <w:r w:rsidRPr="006766D9">
        <w:rPr>
          <w:rFonts w:ascii="Times New Roman" w:hAnsi="Times New Roman" w:cs="Times New Roman"/>
          <w:sz w:val="24"/>
          <w:szCs w:val="24"/>
        </w:rPr>
        <w:t>Likelihood of recurrence</w:t>
      </w:r>
    </w:p>
    <w:p w14:paraId="003F73E5" w14:textId="286B5A8F" w:rsidR="003D0B96" w:rsidRDefault="003D0B96" w:rsidP="003F23FB">
      <w:pPr>
        <w:pStyle w:val="ListParagraph"/>
        <w:numPr>
          <w:ilvl w:val="1"/>
          <w:numId w:val="8"/>
        </w:numPr>
        <w:spacing w:after="0"/>
        <w:ind w:hanging="720"/>
        <w:contextualSpacing w:val="0"/>
        <w:rPr>
          <w:rFonts w:ascii="Times New Roman" w:hAnsi="Times New Roman" w:cs="Times New Roman"/>
          <w:sz w:val="24"/>
          <w:szCs w:val="24"/>
        </w:rPr>
      </w:pPr>
      <w:r w:rsidRPr="006766D9">
        <w:rPr>
          <w:rFonts w:ascii="Times New Roman" w:hAnsi="Times New Roman" w:cs="Times New Roman"/>
          <w:sz w:val="24"/>
          <w:szCs w:val="24"/>
        </w:rPr>
        <w:t>Safety concerns</w:t>
      </w:r>
    </w:p>
    <w:p w14:paraId="397DE33C" w14:textId="036DFB68" w:rsidR="00386F7F" w:rsidRDefault="00386F7F" w:rsidP="003F23FB">
      <w:pPr>
        <w:pStyle w:val="ListParagraph"/>
        <w:numPr>
          <w:ilvl w:val="1"/>
          <w:numId w:val="8"/>
        </w:numPr>
        <w:spacing w:after="0"/>
        <w:ind w:hanging="720"/>
        <w:contextualSpacing w:val="0"/>
        <w:rPr>
          <w:rFonts w:ascii="Times New Roman" w:hAnsi="Times New Roman" w:cs="Times New Roman"/>
          <w:sz w:val="24"/>
          <w:szCs w:val="24"/>
        </w:rPr>
      </w:pPr>
      <w:r>
        <w:rPr>
          <w:rFonts w:ascii="Times New Roman" w:hAnsi="Times New Roman" w:cs="Times New Roman"/>
          <w:sz w:val="24"/>
          <w:szCs w:val="24"/>
        </w:rPr>
        <w:t>Seriousness of the offense</w:t>
      </w:r>
    </w:p>
    <w:p w14:paraId="2D527FFA" w14:textId="03F9C8E3" w:rsidR="00386F7F" w:rsidRDefault="00386F7F" w:rsidP="003F23FB">
      <w:pPr>
        <w:pStyle w:val="ListParagraph"/>
        <w:numPr>
          <w:ilvl w:val="1"/>
          <w:numId w:val="8"/>
        </w:numPr>
        <w:spacing w:after="0"/>
        <w:ind w:hanging="720"/>
        <w:contextualSpacing w:val="0"/>
        <w:rPr>
          <w:rFonts w:ascii="Times New Roman" w:hAnsi="Times New Roman" w:cs="Times New Roman"/>
          <w:sz w:val="24"/>
          <w:szCs w:val="24"/>
        </w:rPr>
      </w:pPr>
      <w:r>
        <w:rPr>
          <w:rFonts w:ascii="Times New Roman" w:hAnsi="Times New Roman" w:cs="Times New Roman"/>
          <w:sz w:val="24"/>
          <w:szCs w:val="24"/>
        </w:rPr>
        <w:t>Involving violence, weapons, etc.</w:t>
      </w:r>
    </w:p>
    <w:p w14:paraId="209C6D21" w14:textId="7071D9FE" w:rsidR="00386F7F" w:rsidRDefault="00386F7F" w:rsidP="003F23FB">
      <w:pPr>
        <w:pStyle w:val="ListParagraph"/>
        <w:numPr>
          <w:ilvl w:val="1"/>
          <w:numId w:val="8"/>
        </w:numPr>
        <w:spacing w:after="0"/>
        <w:ind w:hanging="720"/>
        <w:contextualSpacing w:val="0"/>
        <w:rPr>
          <w:rFonts w:ascii="Times New Roman" w:hAnsi="Times New Roman" w:cs="Times New Roman"/>
          <w:sz w:val="24"/>
          <w:szCs w:val="24"/>
        </w:rPr>
      </w:pPr>
      <w:r>
        <w:rPr>
          <w:rFonts w:ascii="Times New Roman" w:hAnsi="Times New Roman" w:cs="Times New Roman"/>
          <w:sz w:val="24"/>
          <w:szCs w:val="24"/>
        </w:rPr>
        <w:t>Pattern of conduct</w:t>
      </w:r>
    </w:p>
    <w:p w14:paraId="5AC4CCF9" w14:textId="133961FA" w:rsidR="00386F7F" w:rsidRDefault="00386F7F" w:rsidP="003F23FB">
      <w:pPr>
        <w:pStyle w:val="ListParagraph"/>
        <w:numPr>
          <w:ilvl w:val="1"/>
          <w:numId w:val="8"/>
        </w:numPr>
        <w:spacing w:after="240"/>
        <w:ind w:hanging="720"/>
        <w:contextualSpacing w:val="0"/>
        <w:rPr>
          <w:rFonts w:ascii="Times New Roman" w:hAnsi="Times New Roman" w:cs="Times New Roman"/>
          <w:sz w:val="24"/>
          <w:szCs w:val="24"/>
        </w:rPr>
      </w:pPr>
      <w:r>
        <w:rPr>
          <w:rFonts w:ascii="Times New Roman" w:hAnsi="Times New Roman" w:cs="Times New Roman"/>
          <w:sz w:val="24"/>
          <w:szCs w:val="24"/>
        </w:rPr>
        <w:t>Age of victim</w:t>
      </w:r>
    </w:p>
    <w:p w14:paraId="1B707862" w14:textId="413B9FA6" w:rsidR="00383318" w:rsidRDefault="00383318" w:rsidP="00383318">
      <w:pPr>
        <w:pStyle w:val="ListParagraph"/>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Need to document </w:t>
      </w:r>
      <w:r w:rsidR="008D35B1">
        <w:rPr>
          <w:rFonts w:ascii="Times New Roman" w:hAnsi="Times New Roman" w:cs="Times New Roman"/>
          <w:sz w:val="24"/>
          <w:szCs w:val="24"/>
        </w:rPr>
        <w:t xml:space="preserve">the </w:t>
      </w:r>
      <w:r>
        <w:rPr>
          <w:rFonts w:ascii="Times New Roman" w:hAnsi="Times New Roman" w:cs="Times New Roman"/>
          <w:sz w:val="24"/>
          <w:szCs w:val="24"/>
        </w:rPr>
        <w:t xml:space="preserve">reasons the Coordinator declines to file a Formal Complaint to defend any deliberately indifferent challenge. </w:t>
      </w:r>
    </w:p>
    <w:p w14:paraId="61A5259B" w14:textId="77777777" w:rsidR="00814534" w:rsidRPr="006766D9" w:rsidRDefault="00814534" w:rsidP="00814534">
      <w:pPr>
        <w:pStyle w:val="ListParagraph"/>
        <w:spacing w:after="0"/>
        <w:ind w:left="2160"/>
        <w:contextualSpacing w:val="0"/>
        <w:rPr>
          <w:rFonts w:ascii="Times New Roman" w:hAnsi="Times New Roman" w:cs="Times New Roman"/>
          <w:sz w:val="24"/>
          <w:szCs w:val="24"/>
        </w:rPr>
      </w:pPr>
    </w:p>
    <w:p w14:paraId="1D4DBBB6" w14:textId="2F0856F1" w:rsidR="00DA6BD4" w:rsidRPr="003F23FB" w:rsidRDefault="00DA6BD4" w:rsidP="003F23FB">
      <w:pPr>
        <w:pStyle w:val="ListParagraph"/>
        <w:numPr>
          <w:ilvl w:val="0"/>
          <w:numId w:val="1"/>
        </w:numPr>
        <w:spacing w:after="240"/>
        <w:ind w:hanging="720"/>
        <w:contextualSpacing w:val="0"/>
        <w:rPr>
          <w:rFonts w:ascii="Times New Roman" w:hAnsi="Times New Roman" w:cs="Times New Roman"/>
          <w:sz w:val="24"/>
          <w:szCs w:val="24"/>
        </w:rPr>
      </w:pPr>
      <w:r w:rsidRPr="003F23FB">
        <w:rPr>
          <w:rFonts w:ascii="Times New Roman" w:hAnsi="Times New Roman" w:cs="Times New Roman"/>
          <w:sz w:val="24"/>
          <w:szCs w:val="24"/>
        </w:rPr>
        <w:t>Where the Respondent is an Employee</w:t>
      </w:r>
      <w:r w:rsidR="00D97C59" w:rsidRPr="003F23FB">
        <w:rPr>
          <w:rFonts w:ascii="Times New Roman" w:hAnsi="Times New Roman" w:cs="Times New Roman"/>
          <w:sz w:val="24"/>
          <w:szCs w:val="24"/>
        </w:rPr>
        <w:t>.</w:t>
      </w:r>
    </w:p>
    <w:p w14:paraId="4A26EC57" w14:textId="61AB23DB" w:rsidR="00F90119" w:rsidRPr="00383318" w:rsidRDefault="00F90119" w:rsidP="003F23FB">
      <w:pPr>
        <w:pStyle w:val="ListParagraph"/>
        <w:numPr>
          <w:ilvl w:val="1"/>
          <w:numId w:val="8"/>
        </w:numPr>
        <w:spacing w:after="240"/>
        <w:ind w:hanging="720"/>
        <w:contextualSpacing w:val="0"/>
        <w:rPr>
          <w:rFonts w:ascii="Times New Roman" w:hAnsi="Times New Roman" w:cs="Times New Roman"/>
          <w:sz w:val="24"/>
          <w:szCs w:val="24"/>
        </w:rPr>
      </w:pPr>
      <w:r w:rsidRPr="00383318">
        <w:rPr>
          <w:rFonts w:ascii="Times New Roman" w:hAnsi="Times New Roman" w:cs="Times New Roman"/>
          <w:sz w:val="24"/>
          <w:szCs w:val="24"/>
        </w:rPr>
        <w:t>Same Grievance Process or Separate Process incorporating Title IX requirements</w:t>
      </w:r>
      <w:r w:rsidR="00814534" w:rsidRPr="00383318">
        <w:rPr>
          <w:rFonts w:ascii="Times New Roman" w:hAnsi="Times New Roman" w:cs="Times New Roman"/>
          <w:sz w:val="24"/>
          <w:szCs w:val="24"/>
        </w:rPr>
        <w:t>?</w:t>
      </w:r>
    </w:p>
    <w:p w14:paraId="5245A8CF" w14:textId="77777777" w:rsidR="00DA6BD4" w:rsidRPr="00383318" w:rsidRDefault="00F90119" w:rsidP="003F23FB">
      <w:pPr>
        <w:pStyle w:val="ListParagraph"/>
        <w:numPr>
          <w:ilvl w:val="1"/>
          <w:numId w:val="8"/>
        </w:numPr>
        <w:spacing w:after="240"/>
        <w:ind w:hanging="720"/>
        <w:contextualSpacing w:val="0"/>
        <w:rPr>
          <w:rFonts w:ascii="Times New Roman" w:hAnsi="Times New Roman" w:cs="Times New Roman"/>
          <w:sz w:val="24"/>
          <w:szCs w:val="24"/>
        </w:rPr>
      </w:pPr>
      <w:r w:rsidRPr="00383318">
        <w:rPr>
          <w:rFonts w:ascii="Times New Roman" w:hAnsi="Times New Roman" w:cs="Times New Roman"/>
          <w:sz w:val="24"/>
          <w:szCs w:val="24"/>
        </w:rPr>
        <w:t xml:space="preserve">Interplay with Employee </w:t>
      </w:r>
      <w:r w:rsidR="00275FA7" w:rsidRPr="00383318">
        <w:rPr>
          <w:rFonts w:ascii="Times New Roman" w:hAnsi="Times New Roman" w:cs="Times New Roman"/>
          <w:sz w:val="24"/>
          <w:szCs w:val="24"/>
        </w:rPr>
        <w:t>Grievance</w:t>
      </w:r>
      <w:r w:rsidRPr="00383318">
        <w:rPr>
          <w:rFonts w:ascii="Times New Roman" w:hAnsi="Times New Roman" w:cs="Times New Roman"/>
          <w:sz w:val="24"/>
          <w:szCs w:val="24"/>
        </w:rPr>
        <w:t xml:space="preserve"> Procedure and Disciplinary/Dismissal Process</w:t>
      </w:r>
      <w:r w:rsidR="00D97C59" w:rsidRPr="00383318">
        <w:rPr>
          <w:rFonts w:ascii="Times New Roman" w:hAnsi="Times New Roman" w:cs="Times New Roman"/>
          <w:sz w:val="24"/>
          <w:szCs w:val="24"/>
        </w:rPr>
        <w:t>.</w:t>
      </w:r>
    </w:p>
    <w:p w14:paraId="5569F9EB" w14:textId="73ECE44B" w:rsidR="00DA6BD4" w:rsidRDefault="00DA6BD4" w:rsidP="003F23FB">
      <w:pPr>
        <w:pStyle w:val="ListParagraph"/>
        <w:numPr>
          <w:ilvl w:val="0"/>
          <w:numId w:val="1"/>
        </w:numPr>
        <w:spacing w:after="240"/>
        <w:ind w:hanging="720"/>
        <w:contextualSpacing w:val="0"/>
        <w:rPr>
          <w:rFonts w:ascii="Times New Roman" w:hAnsi="Times New Roman" w:cs="Times New Roman"/>
          <w:sz w:val="24"/>
          <w:szCs w:val="24"/>
        </w:rPr>
      </w:pPr>
      <w:r w:rsidRPr="00383318">
        <w:rPr>
          <w:rFonts w:ascii="Times New Roman" w:hAnsi="Times New Roman" w:cs="Times New Roman"/>
          <w:sz w:val="24"/>
          <w:szCs w:val="24"/>
        </w:rPr>
        <w:t>Live Hearings v</w:t>
      </w:r>
      <w:r w:rsidR="00814534" w:rsidRPr="00383318">
        <w:rPr>
          <w:rFonts w:ascii="Times New Roman" w:hAnsi="Times New Roman" w:cs="Times New Roman"/>
          <w:sz w:val="24"/>
          <w:szCs w:val="24"/>
        </w:rPr>
        <w:t>.</w:t>
      </w:r>
      <w:r w:rsidRPr="00383318">
        <w:rPr>
          <w:rFonts w:ascii="Times New Roman" w:hAnsi="Times New Roman" w:cs="Times New Roman"/>
          <w:sz w:val="24"/>
          <w:szCs w:val="24"/>
        </w:rPr>
        <w:t xml:space="preserve"> Paper Review</w:t>
      </w:r>
      <w:r w:rsidR="00D97C59" w:rsidRPr="00383318">
        <w:rPr>
          <w:rFonts w:ascii="Times New Roman" w:hAnsi="Times New Roman" w:cs="Times New Roman"/>
          <w:sz w:val="24"/>
          <w:szCs w:val="24"/>
        </w:rPr>
        <w:t>.</w:t>
      </w:r>
    </w:p>
    <w:p w14:paraId="3B4F794D" w14:textId="7BD622D5" w:rsidR="005248D0" w:rsidRPr="005248D0" w:rsidRDefault="005248D0" w:rsidP="005248D0">
      <w:pPr>
        <w:spacing w:after="240"/>
        <w:rPr>
          <w:rFonts w:ascii="Times New Roman" w:hAnsi="Times New Roman" w:cs="Times New Roman"/>
          <w:sz w:val="24"/>
          <w:szCs w:val="24"/>
        </w:rPr>
      </w:pPr>
      <w:r>
        <w:rPr>
          <w:rFonts w:ascii="Times New Roman" w:hAnsi="Times New Roman" w:cs="Times New Roman"/>
          <w:sz w:val="24"/>
          <w:szCs w:val="24"/>
        </w:rPr>
        <w:tab/>
        <w:t>I</w:t>
      </w:r>
      <w:r w:rsidRPr="005248D0">
        <w:rPr>
          <w:rFonts w:ascii="Times New Roman" w:hAnsi="Times New Roman" w:cs="Times New Roman"/>
          <w:sz w:val="24"/>
          <w:szCs w:val="24"/>
        </w:rPr>
        <w:t>t is important to understand the general princip</w:t>
      </w:r>
      <w:r>
        <w:rPr>
          <w:rFonts w:ascii="Times New Roman" w:hAnsi="Times New Roman" w:cs="Times New Roman"/>
          <w:sz w:val="24"/>
          <w:szCs w:val="24"/>
        </w:rPr>
        <w:t>les which must guide school</w:t>
      </w:r>
      <w:r w:rsidRPr="005248D0">
        <w:rPr>
          <w:rFonts w:ascii="Times New Roman" w:hAnsi="Times New Roman" w:cs="Times New Roman"/>
          <w:sz w:val="24"/>
          <w:szCs w:val="24"/>
        </w:rPr>
        <w:t xml:space="preserve">s as they </w:t>
      </w:r>
      <w:r>
        <w:rPr>
          <w:rFonts w:ascii="Times New Roman" w:hAnsi="Times New Roman" w:cs="Times New Roman"/>
          <w:sz w:val="24"/>
          <w:szCs w:val="24"/>
        </w:rPr>
        <w:tab/>
      </w:r>
      <w:r w:rsidRPr="005248D0">
        <w:rPr>
          <w:rFonts w:ascii="Times New Roman" w:hAnsi="Times New Roman" w:cs="Times New Roman"/>
          <w:sz w:val="24"/>
          <w:szCs w:val="24"/>
        </w:rPr>
        <w:t xml:space="preserve">craft a grievance process that complies with the new rules.  </w:t>
      </w:r>
      <w:proofErr w:type="gramStart"/>
      <w:r w:rsidRPr="005248D0">
        <w:rPr>
          <w:rFonts w:ascii="Times New Roman" w:hAnsi="Times New Roman" w:cs="Times New Roman"/>
          <w:sz w:val="24"/>
          <w:szCs w:val="24"/>
        </w:rPr>
        <w:t>In particular, Section</w:t>
      </w:r>
      <w:proofErr w:type="gramEnd"/>
      <w:r w:rsidRPr="005248D0">
        <w:rPr>
          <w:rFonts w:ascii="Times New Roman" w:hAnsi="Times New Roman" w:cs="Times New Roman"/>
          <w:sz w:val="24"/>
          <w:szCs w:val="24"/>
        </w:rPr>
        <w:t xml:space="preserve"> 106.45 </w:t>
      </w:r>
      <w:r>
        <w:rPr>
          <w:rFonts w:ascii="Times New Roman" w:hAnsi="Times New Roman" w:cs="Times New Roman"/>
          <w:sz w:val="24"/>
          <w:szCs w:val="24"/>
        </w:rPr>
        <w:tab/>
      </w:r>
      <w:r w:rsidRPr="005248D0">
        <w:rPr>
          <w:rFonts w:ascii="Times New Roman" w:hAnsi="Times New Roman" w:cs="Times New Roman"/>
          <w:sz w:val="24"/>
          <w:szCs w:val="24"/>
        </w:rPr>
        <w:t xml:space="preserve">codifies general requirements aimed at ensuring that </w:t>
      </w:r>
      <w:r w:rsidRPr="005248D0">
        <w:rPr>
          <w:rFonts w:ascii="Times New Roman" w:hAnsi="Times New Roman" w:cs="Times New Roman"/>
          <w:b/>
          <w:sz w:val="24"/>
          <w:szCs w:val="24"/>
        </w:rPr>
        <w:t>“</w:t>
      </w:r>
      <w:r w:rsidRPr="005248D0">
        <w:rPr>
          <w:rFonts w:ascii="Times New Roman" w:hAnsi="Times New Roman" w:cs="Times New Roman"/>
          <w:sz w:val="24"/>
          <w:szCs w:val="24"/>
        </w:rPr>
        <w:t xml:space="preserve">grievance procedures treat </w:t>
      </w:r>
      <w:r>
        <w:rPr>
          <w:rFonts w:ascii="Times New Roman" w:hAnsi="Times New Roman" w:cs="Times New Roman"/>
          <w:sz w:val="24"/>
          <w:szCs w:val="24"/>
        </w:rPr>
        <w:tab/>
      </w:r>
      <w:r w:rsidRPr="005248D0">
        <w:rPr>
          <w:rFonts w:ascii="Times New Roman" w:hAnsi="Times New Roman" w:cs="Times New Roman"/>
          <w:sz w:val="24"/>
          <w:szCs w:val="24"/>
        </w:rPr>
        <w:t xml:space="preserve">complainants and respondents equitably.”  The foundation of the new rule is that </w:t>
      </w:r>
      <w:r>
        <w:rPr>
          <w:rFonts w:ascii="Times New Roman" w:hAnsi="Times New Roman" w:cs="Times New Roman"/>
          <w:sz w:val="24"/>
          <w:szCs w:val="24"/>
        </w:rPr>
        <w:tab/>
      </w:r>
      <w:r w:rsidRPr="005248D0">
        <w:rPr>
          <w:rFonts w:ascii="Times New Roman" w:hAnsi="Times New Roman" w:cs="Times New Roman"/>
          <w:sz w:val="24"/>
          <w:szCs w:val="24"/>
        </w:rPr>
        <w:t xml:space="preserve">sanctions cannot be imposed without following a grievance process that complies with </w:t>
      </w:r>
      <w:r>
        <w:rPr>
          <w:rFonts w:ascii="Times New Roman" w:hAnsi="Times New Roman" w:cs="Times New Roman"/>
          <w:sz w:val="24"/>
          <w:szCs w:val="24"/>
        </w:rPr>
        <w:tab/>
      </w:r>
      <w:r w:rsidRPr="005248D0">
        <w:rPr>
          <w:rFonts w:ascii="Times New Roman" w:hAnsi="Times New Roman" w:cs="Times New Roman"/>
          <w:sz w:val="24"/>
          <w:szCs w:val="24"/>
        </w:rPr>
        <w:t xml:space="preserve">Section 106.45.   </w:t>
      </w:r>
    </w:p>
    <w:p w14:paraId="1427AFC0" w14:textId="667905C1" w:rsidR="005248D0" w:rsidRPr="005248D0" w:rsidRDefault="005248D0" w:rsidP="005248D0">
      <w:pPr>
        <w:spacing w:after="240"/>
        <w:rPr>
          <w:rFonts w:ascii="Times New Roman" w:hAnsi="Times New Roman" w:cs="Times New Roman"/>
          <w:sz w:val="24"/>
          <w:szCs w:val="24"/>
        </w:rPr>
      </w:pPr>
      <w:r>
        <w:rPr>
          <w:rFonts w:ascii="Times New Roman" w:hAnsi="Times New Roman" w:cs="Times New Roman"/>
          <w:sz w:val="24"/>
          <w:szCs w:val="24"/>
        </w:rPr>
        <w:tab/>
      </w:r>
      <w:r w:rsidRPr="005248D0">
        <w:rPr>
          <w:rFonts w:ascii="Times New Roman" w:hAnsi="Times New Roman" w:cs="Times New Roman"/>
          <w:sz w:val="24"/>
          <w:szCs w:val="24"/>
        </w:rPr>
        <w:t xml:space="preserve">A compliant procedure is predictable process that presumes the respondent is not </w:t>
      </w:r>
      <w:r>
        <w:rPr>
          <w:rFonts w:ascii="Times New Roman" w:hAnsi="Times New Roman" w:cs="Times New Roman"/>
          <w:sz w:val="24"/>
          <w:szCs w:val="24"/>
        </w:rPr>
        <w:tab/>
      </w:r>
      <w:r w:rsidRPr="005248D0">
        <w:rPr>
          <w:rFonts w:ascii="Times New Roman" w:hAnsi="Times New Roman" w:cs="Times New Roman"/>
          <w:sz w:val="24"/>
          <w:szCs w:val="24"/>
        </w:rPr>
        <w:t xml:space="preserve">responsible for the alleged conduct.  </w:t>
      </w:r>
    </w:p>
    <w:p w14:paraId="61FEFBA4" w14:textId="7A537122" w:rsidR="005248D0" w:rsidRDefault="005248D0" w:rsidP="005248D0">
      <w:pPr>
        <w:spacing w:after="240"/>
        <w:rPr>
          <w:rFonts w:ascii="Times New Roman" w:hAnsi="Times New Roman" w:cs="Times New Roman"/>
          <w:sz w:val="24"/>
          <w:szCs w:val="24"/>
        </w:rPr>
      </w:pPr>
      <w:r>
        <w:rPr>
          <w:rFonts w:ascii="Times New Roman" w:hAnsi="Times New Roman" w:cs="Times New Roman"/>
          <w:sz w:val="24"/>
          <w:szCs w:val="24"/>
        </w:rPr>
        <w:tab/>
      </w:r>
      <w:r w:rsidRPr="005248D0">
        <w:rPr>
          <w:rFonts w:ascii="Times New Roman" w:hAnsi="Times New Roman" w:cs="Times New Roman"/>
          <w:sz w:val="24"/>
          <w:szCs w:val="24"/>
        </w:rPr>
        <w:t xml:space="preserve">Importantly, this means the respondent does not have to prove innocence – the lack of </w:t>
      </w:r>
      <w:r>
        <w:rPr>
          <w:rFonts w:ascii="Times New Roman" w:hAnsi="Times New Roman" w:cs="Times New Roman"/>
          <w:sz w:val="24"/>
          <w:szCs w:val="24"/>
        </w:rPr>
        <w:tab/>
      </w:r>
      <w:r w:rsidRPr="005248D0">
        <w:rPr>
          <w:rFonts w:ascii="Times New Roman" w:hAnsi="Times New Roman" w:cs="Times New Roman"/>
          <w:sz w:val="24"/>
          <w:szCs w:val="24"/>
        </w:rPr>
        <w:t xml:space="preserve">this presumption, known as the implicit bias problem, has led to hundreds of lawsuits by </w:t>
      </w:r>
      <w:r>
        <w:rPr>
          <w:rFonts w:ascii="Times New Roman" w:hAnsi="Times New Roman" w:cs="Times New Roman"/>
          <w:sz w:val="24"/>
          <w:szCs w:val="24"/>
        </w:rPr>
        <w:tab/>
      </w:r>
      <w:r w:rsidRPr="005248D0">
        <w:rPr>
          <w:rFonts w:ascii="Times New Roman" w:hAnsi="Times New Roman" w:cs="Times New Roman"/>
          <w:sz w:val="24"/>
          <w:szCs w:val="24"/>
        </w:rPr>
        <w:t xml:space="preserve">male respondents against colleges and universities based on allegations of unfair </w:t>
      </w:r>
      <w:r>
        <w:rPr>
          <w:rFonts w:ascii="Times New Roman" w:hAnsi="Times New Roman" w:cs="Times New Roman"/>
          <w:sz w:val="24"/>
          <w:szCs w:val="24"/>
        </w:rPr>
        <w:tab/>
      </w:r>
      <w:r w:rsidRPr="005248D0">
        <w:rPr>
          <w:rFonts w:ascii="Times New Roman" w:hAnsi="Times New Roman" w:cs="Times New Roman"/>
          <w:sz w:val="24"/>
          <w:szCs w:val="24"/>
        </w:rPr>
        <w:t>treatment</w:t>
      </w:r>
      <w:r>
        <w:rPr>
          <w:rFonts w:ascii="Times New Roman" w:hAnsi="Times New Roman" w:cs="Times New Roman"/>
          <w:sz w:val="24"/>
          <w:szCs w:val="24"/>
        </w:rPr>
        <w:t>, and K-12 schools could experience the same backlash</w:t>
      </w:r>
      <w:r w:rsidRPr="005248D0">
        <w:rPr>
          <w:rFonts w:ascii="Times New Roman" w:hAnsi="Times New Roman" w:cs="Times New Roman"/>
          <w:sz w:val="24"/>
          <w:szCs w:val="24"/>
        </w:rPr>
        <w:t>.</w:t>
      </w:r>
    </w:p>
    <w:p w14:paraId="64FB6E0B" w14:textId="06E88482" w:rsidR="003C6F63" w:rsidRPr="003C6F63" w:rsidRDefault="003C6F63" w:rsidP="003C6F63">
      <w:pPr>
        <w:spacing w:after="240"/>
        <w:rPr>
          <w:rFonts w:ascii="Times New Roman" w:hAnsi="Times New Roman" w:cs="Times New Roman"/>
          <w:sz w:val="24"/>
          <w:szCs w:val="24"/>
          <w:vertAlign w:val="superscript"/>
        </w:rPr>
      </w:pPr>
      <w:r>
        <w:rPr>
          <w:rFonts w:ascii="Times New Roman" w:hAnsi="Times New Roman" w:cs="Times New Roman"/>
          <w:sz w:val="24"/>
          <w:szCs w:val="24"/>
        </w:rPr>
        <w:tab/>
      </w:r>
      <w:r w:rsidRPr="003C6F63">
        <w:rPr>
          <w:rFonts w:ascii="Times New Roman" w:hAnsi="Times New Roman" w:cs="Times New Roman"/>
          <w:sz w:val="24"/>
          <w:szCs w:val="24"/>
        </w:rPr>
        <w:t xml:space="preserve">The final rule does not require K-12 schools to provide live hearings. According to </w:t>
      </w:r>
      <w:r>
        <w:rPr>
          <w:rFonts w:ascii="Times New Roman" w:hAnsi="Times New Roman" w:cs="Times New Roman"/>
          <w:sz w:val="24"/>
          <w:szCs w:val="24"/>
        </w:rPr>
        <w:tab/>
      </w:r>
      <w:r w:rsidRPr="003C6F63">
        <w:rPr>
          <w:rFonts w:ascii="Times New Roman" w:hAnsi="Times New Roman" w:cs="Times New Roman"/>
          <w:sz w:val="24"/>
          <w:szCs w:val="24"/>
        </w:rPr>
        <w:t xml:space="preserve">OCR’s commentary, school officials “could determine that their educational community </w:t>
      </w:r>
      <w:r>
        <w:rPr>
          <w:rFonts w:ascii="Times New Roman" w:hAnsi="Times New Roman" w:cs="Times New Roman"/>
          <w:sz w:val="24"/>
          <w:szCs w:val="24"/>
        </w:rPr>
        <w:tab/>
      </w:r>
      <w:r w:rsidRPr="003C6F63">
        <w:rPr>
          <w:rFonts w:ascii="Times New Roman" w:hAnsi="Times New Roman" w:cs="Times New Roman"/>
          <w:sz w:val="24"/>
          <w:szCs w:val="24"/>
        </w:rPr>
        <w:t xml:space="preserve">is best served by holding live hearings for high school students, for students above a </w:t>
      </w:r>
      <w:r>
        <w:rPr>
          <w:rFonts w:ascii="Times New Roman" w:hAnsi="Times New Roman" w:cs="Times New Roman"/>
          <w:sz w:val="24"/>
          <w:szCs w:val="24"/>
        </w:rPr>
        <w:tab/>
        <w:t xml:space="preserve">certain age, or not at all.” </w:t>
      </w:r>
      <w:r w:rsidRPr="003C6F63">
        <w:rPr>
          <w:rFonts w:ascii="Times New Roman" w:hAnsi="Times New Roman" w:cs="Times New Roman"/>
          <w:sz w:val="24"/>
          <w:szCs w:val="24"/>
        </w:rPr>
        <w:t xml:space="preserve">The commentary states that a Title IX coordinator could </w:t>
      </w:r>
      <w:r>
        <w:rPr>
          <w:rFonts w:ascii="Times New Roman" w:hAnsi="Times New Roman" w:cs="Times New Roman"/>
          <w:sz w:val="24"/>
          <w:szCs w:val="24"/>
        </w:rPr>
        <w:tab/>
      </w:r>
      <w:r w:rsidRPr="003C6F63">
        <w:rPr>
          <w:rFonts w:ascii="Times New Roman" w:hAnsi="Times New Roman" w:cs="Times New Roman"/>
          <w:sz w:val="24"/>
          <w:szCs w:val="24"/>
        </w:rPr>
        <w:t xml:space="preserve">determine whether a live hearing is necessary on a case-by-case basis, provided that the </w:t>
      </w:r>
      <w:r>
        <w:rPr>
          <w:rFonts w:ascii="Times New Roman" w:hAnsi="Times New Roman" w:cs="Times New Roman"/>
          <w:sz w:val="24"/>
          <w:szCs w:val="24"/>
        </w:rPr>
        <w:lastRenderedPageBreak/>
        <w:tab/>
      </w:r>
      <w:r w:rsidRPr="003C6F63">
        <w:rPr>
          <w:rFonts w:ascii="Times New Roman" w:hAnsi="Times New Roman" w:cs="Times New Roman"/>
          <w:sz w:val="24"/>
          <w:szCs w:val="24"/>
        </w:rPr>
        <w:t xml:space="preserve">K-12 recipient’s grievance process clearly indicates the equitable circumstances under </w:t>
      </w:r>
      <w:r>
        <w:rPr>
          <w:rFonts w:ascii="Times New Roman" w:hAnsi="Times New Roman" w:cs="Times New Roman"/>
          <w:sz w:val="24"/>
          <w:szCs w:val="24"/>
        </w:rPr>
        <w:tab/>
      </w:r>
      <w:r w:rsidRPr="003C6F63">
        <w:rPr>
          <w:rFonts w:ascii="Times New Roman" w:hAnsi="Times New Roman" w:cs="Times New Roman"/>
          <w:sz w:val="24"/>
          <w:szCs w:val="24"/>
        </w:rPr>
        <w:t>which a hearing will or will not be provided.</w:t>
      </w:r>
    </w:p>
    <w:p w14:paraId="134ED461" w14:textId="73C75569" w:rsidR="003C6F63" w:rsidRPr="003C6F63" w:rsidRDefault="003C6F63" w:rsidP="003C6F63">
      <w:pPr>
        <w:spacing w:after="240"/>
        <w:rPr>
          <w:rFonts w:ascii="Times New Roman" w:hAnsi="Times New Roman" w:cs="Times New Roman"/>
          <w:sz w:val="24"/>
          <w:szCs w:val="24"/>
        </w:rPr>
      </w:pPr>
      <w:r>
        <w:rPr>
          <w:rFonts w:ascii="Times New Roman" w:hAnsi="Times New Roman" w:cs="Times New Roman"/>
          <w:sz w:val="24"/>
          <w:szCs w:val="24"/>
        </w:rPr>
        <w:tab/>
      </w:r>
      <w:r w:rsidRPr="003C6F63">
        <w:rPr>
          <w:rFonts w:ascii="Times New Roman" w:hAnsi="Times New Roman" w:cs="Times New Roman"/>
          <w:sz w:val="24"/>
          <w:szCs w:val="24"/>
        </w:rPr>
        <w:t xml:space="preserve">With or without a hearing, the recipient must provide each party the opportunity after the </w:t>
      </w:r>
      <w:r>
        <w:rPr>
          <w:rFonts w:ascii="Times New Roman" w:hAnsi="Times New Roman" w:cs="Times New Roman"/>
          <w:sz w:val="24"/>
          <w:szCs w:val="24"/>
        </w:rPr>
        <w:tab/>
      </w:r>
      <w:r w:rsidRPr="003C6F63">
        <w:rPr>
          <w:rFonts w:ascii="Times New Roman" w:hAnsi="Times New Roman" w:cs="Times New Roman"/>
          <w:sz w:val="24"/>
          <w:szCs w:val="24"/>
        </w:rPr>
        <w:t xml:space="preserve">completion of the investigative report to submit written, relevant questions that the party </w:t>
      </w:r>
      <w:r>
        <w:rPr>
          <w:rFonts w:ascii="Times New Roman" w:hAnsi="Times New Roman" w:cs="Times New Roman"/>
          <w:sz w:val="24"/>
          <w:szCs w:val="24"/>
        </w:rPr>
        <w:tab/>
      </w:r>
      <w:r w:rsidRPr="003C6F63">
        <w:rPr>
          <w:rFonts w:ascii="Times New Roman" w:hAnsi="Times New Roman" w:cs="Times New Roman"/>
          <w:sz w:val="24"/>
          <w:szCs w:val="24"/>
        </w:rPr>
        <w:t xml:space="preserve">wants asked of another party or witness, provide each party with the answers, and provide </w:t>
      </w:r>
      <w:r>
        <w:rPr>
          <w:rFonts w:ascii="Times New Roman" w:hAnsi="Times New Roman" w:cs="Times New Roman"/>
          <w:sz w:val="24"/>
          <w:szCs w:val="24"/>
        </w:rPr>
        <w:tab/>
      </w:r>
      <w:r w:rsidRPr="003C6F63">
        <w:rPr>
          <w:rFonts w:ascii="Times New Roman" w:hAnsi="Times New Roman" w:cs="Times New Roman"/>
          <w:sz w:val="24"/>
          <w:szCs w:val="24"/>
        </w:rPr>
        <w:t xml:space="preserve">for limited follow-up questions. Section 106.45(b)(6)(ii) establishes when questions </w:t>
      </w:r>
      <w:r>
        <w:rPr>
          <w:rFonts w:ascii="Times New Roman" w:hAnsi="Times New Roman" w:cs="Times New Roman"/>
          <w:sz w:val="24"/>
          <w:szCs w:val="24"/>
        </w:rPr>
        <w:tab/>
      </w:r>
      <w:r w:rsidRPr="003C6F63">
        <w:rPr>
          <w:rFonts w:ascii="Times New Roman" w:hAnsi="Times New Roman" w:cs="Times New Roman"/>
          <w:sz w:val="24"/>
          <w:szCs w:val="24"/>
        </w:rPr>
        <w:t xml:space="preserve">regarding a complainant’s prior sexual behavior or sexual predisposition are considered </w:t>
      </w:r>
      <w:r>
        <w:rPr>
          <w:rFonts w:ascii="Times New Roman" w:hAnsi="Times New Roman" w:cs="Times New Roman"/>
          <w:sz w:val="24"/>
          <w:szCs w:val="24"/>
        </w:rPr>
        <w:tab/>
      </w:r>
      <w:r w:rsidRPr="003C6F63">
        <w:rPr>
          <w:rFonts w:ascii="Times New Roman" w:hAnsi="Times New Roman" w:cs="Times New Roman"/>
          <w:sz w:val="24"/>
          <w:szCs w:val="24"/>
        </w:rPr>
        <w:t>relevant in a</w:t>
      </w:r>
      <w:r>
        <w:rPr>
          <w:rFonts w:ascii="Times New Roman" w:hAnsi="Times New Roman" w:cs="Times New Roman"/>
          <w:sz w:val="24"/>
          <w:szCs w:val="24"/>
        </w:rPr>
        <w:t xml:space="preserve"> </w:t>
      </w:r>
      <w:r w:rsidRPr="003C6F63">
        <w:rPr>
          <w:rFonts w:ascii="Times New Roman" w:hAnsi="Times New Roman" w:cs="Times New Roman"/>
          <w:sz w:val="24"/>
          <w:szCs w:val="24"/>
        </w:rPr>
        <w:t>hearing provided by a K-12 recipient.</w:t>
      </w:r>
    </w:p>
    <w:p w14:paraId="5DA59BB7" w14:textId="5F568CCB" w:rsidR="00DA6BD4" w:rsidRPr="00383318" w:rsidRDefault="00DA6BD4" w:rsidP="003F23FB">
      <w:pPr>
        <w:pStyle w:val="ListParagraph"/>
        <w:numPr>
          <w:ilvl w:val="0"/>
          <w:numId w:val="1"/>
        </w:numPr>
        <w:spacing w:after="240"/>
        <w:ind w:hanging="720"/>
        <w:contextualSpacing w:val="0"/>
        <w:rPr>
          <w:rFonts w:ascii="Times New Roman" w:hAnsi="Times New Roman" w:cs="Times New Roman"/>
          <w:sz w:val="24"/>
          <w:szCs w:val="24"/>
        </w:rPr>
      </w:pPr>
      <w:r w:rsidRPr="00383318">
        <w:rPr>
          <w:rFonts w:ascii="Times New Roman" w:hAnsi="Times New Roman" w:cs="Times New Roman"/>
          <w:sz w:val="24"/>
          <w:szCs w:val="24"/>
        </w:rPr>
        <w:t>Supportive Measures That Are Not Unduly Burdensome</w:t>
      </w:r>
      <w:r w:rsidR="00F90119" w:rsidRPr="00383318">
        <w:rPr>
          <w:rFonts w:ascii="Times New Roman" w:hAnsi="Times New Roman" w:cs="Times New Roman"/>
          <w:sz w:val="24"/>
          <w:szCs w:val="24"/>
        </w:rPr>
        <w:t>-What Does This Encompass</w:t>
      </w:r>
      <w:r w:rsidR="003D0B96" w:rsidRPr="00383318">
        <w:rPr>
          <w:rFonts w:ascii="Times New Roman" w:hAnsi="Times New Roman" w:cs="Times New Roman"/>
          <w:sz w:val="24"/>
          <w:szCs w:val="24"/>
        </w:rPr>
        <w:t>?</w:t>
      </w:r>
    </w:p>
    <w:p w14:paraId="3553922C" w14:textId="7B2BD781" w:rsidR="003D0B96" w:rsidRPr="005F6958" w:rsidRDefault="003D0B96" w:rsidP="003F23FB">
      <w:pPr>
        <w:pStyle w:val="ListParagraph"/>
        <w:spacing w:after="240"/>
        <w:contextualSpacing w:val="0"/>
        <w:rPr>
          <w:rFonts w:ascii="Times New Roman" w:hAnsi="Times New Roman" w:cs="Times New Roman"/>
          <w:i/>
          <w:iCs/>
          <w:sz w:val="24"/>
          <w:szCs w:val="24"/>
        </w:rPr>
      </w:pPr>
      <w:r w:rsidRPr="005F6958">
        <w:rPr>
          <w:rFonts w:ascii="Times New Roman" w:hAnsi="Times New Roman" w:cs="Times New Roman"/>
          <w:i/>
          <w:iCs/>
          <w:sz w:val="24"/>
          <w:szCs w:val="24"/>
        </w:rPr>
        <w:t xml:space="preserve">Supportive measures are non-disciplinary, non-punitive individualized serves offered, as appropriate, as reasonably available, and without fee or charge to the Complainant or the Respondent before or after the </w:t>
      </w:r>
      <w:r w:rsidR="009A180E" w:rsidRPr="005F6958">
        <w:rPr>
          <w:rFonts w:ascii="Times New Roman" w:hAnsi="Times New Roman" w:cs="Times New Roman"/>
          <w:i/>
          <w:iCs/>
          <w:sz w:val="24"/>
          <w:szCs w:val="24"/>
        </w:rPr>
        <w:t>filing</w:t>
      </w:r>
      <w:r w:rsidRPr="005F6958">
        <w:rPr>
          <w:rFonts w:ascii="Times New Roman" w:hAnsi="Times New Roman" w:cs="Times New Roman"/>
          <w:i/>
          <w:iCs/>
          <w:sz w:val="24"/>
          <w:szCs w:val="24"/>
        </w:rPr>
        <w:t xml:space="preserve"> of a Formal Complaint or where no Formal Complaint has been filed. Such measures are designed to restore or preserve equal access to the </w:t>
      </w:r>
      <w:r w:rsidR="00606E5C" w:rsidRPr="005F6958">
        <w:rPr>
          <w:rFonts w:ascii="Times New Roman" w:hAnsi="Times New Roman" w:cs="Times New Roman"/>
          <w:i/>
          <w:iCs/>
          <w:sz w:val="24"/>
          <w:szCs w:val="24"/>
        </w:rPr>
        <w:t>recipient</w:t>
      </w:r>
      <w:r w:rsidR="009A180E" w:rsidRPr="005F6958">
        <w:rPr>
          <w:rFonts w:ascii="Times New Roman" w:hAnsi="Times New Roman" w:cs="Times New Roman"/>
          <w:i/>
          <w:iCs/>
          <w:sz w:val="24"/>
          <w:szCs w:val="24"/>
        </w:rPr>
        <w:t>’</w:t>
      </w:r>
      <w:r w:rsidR="005376C6" w:rsidRPr="005F6958">
        <w:rPr>
          <w:rFonts w:ascii="Times New Roman" w:hAnsi="Times New Roman" w:cs="Times New Roman"/>
          <w:i/>
          <w:iCs/>
          <w:sz w:val="24"/>
          <w:szCs w:val="24"/>
        </w:rPr>
        <w:t>s educational programs or activities without unreasonably burdening the other party, including measures designed to protect the safety of all parties or the recipient’s educational environment, or deter sexual harassment.</w:t>
      </w:r>
    </w:p>
    <w:p w14:paraId="621B81E4" w14:textId="3AFB374F" w:rsidR="005376C6" w:rsidRPr="005F6958" w:rsidRDefault="005376C6" w:rsidP="003F23FB">
      <w:pPr>
        <w:pStyle w:val="ListParagraph"/>
        <w:spacing w:after="240"/>
        <w:contextualSpacing w:val="0"/>
        <w:rPr>
          <w:rFonts w:ascii="Times New Roman" w:hAnsi="Times New Roman" w:cs="Times New Roman"/>
          <w:i/>
          <w:iCs/>
          <w:sz w:val="24"/>
          <w:szCs w:val="24"/>
        </w:rPr>
      </w:pPr>
      <w:r w:rsidRPr="005F6958">
        <w:rPr>
          <w:rFonts w:ascii="Times New Roman" w:hAnsi="Times New Roman" w:cs="Times New Roman"/>
          <w:i/>
          <w:iCs/>
          <w:sz w:val="24"/>
          <w:szCs w:val="24"/>
        </w:rPr>
        <w:t>Supportive measures may include 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w:t>
      </w:r>
    </w:p>
    <w:p w14:paraId="33F7DA6C" w14:textId="149923AA" w:rsidR="00814534" w:rsidRDefault="00814534" w:rsidP="003F23FB">
      <w:pPr>
        <w:ind w:left="720"/>
        <w:rPr>
          <w:rFonts w:ascii="Times New Roman" w:hAnsi="Times New Roman" w:cs="Times New Roman"/>
          <w:sz w:val="24"/>
          <w:szCs w:val="24"/>
        </w:rPr>
      </w:pPr>
      <w:r>
        <w:rPr>
          <w:rFonts w:ascii="Times New Roman" w:hAnsi="Times New Roman" w:cs="Times New Roman"/>
          <w:sz w:val="24"/>
          <w:szCs w:val="24"/>
        </w:rPr>
        <w:t xml:space="preserve">Do Supportive </w:t>
      </w:r>
      <w:r w:rsidR="008D35B1">
        <w:rPr>
          <w:rFonts w:ascii="Times New Roman" w:hAnsi="Times New Roman" w:cs="Times New Roman"/>
          <w:sz w:val="24"/>
          <w:szCs w:val="24"/>
        </w:rPr>
        <w:t>M</w:t>
      </w:r>
      <w:r>
        <w:rPr>
          <w:rFonts w:ascii="Times New Roman" w:hAnsi="Times New Roman" w:cs="Times New Roman"/>
          <w:sz w:val="24"/>
          <w:szCs w:val="24"/>
        </w:rPr>
        <w:t>easures include:</w:t>
      </w:r>
    </w:p>
    <w:p w14:paraId="5452F4D9" w14:textId="57B53BD1" w:rsidR="00F90119" w:rsidRPr="00814534" w:rsidRDefault="00F90119" w:rsidP="00B47577">
      <w:pPr>
        <w:pStyle w:val="ListParagraph"/>
        <w:numPr>
          <w:ilvl w:val="1"/>
          <w:numId w:val="11"/>
        </w:numPr>
        <w:ind w:hanging="720"/>
        <w:rPr>
          <w:rFonts w:ascii="Times New Roman" w:hAnsi="Times New Roman" w:cs="Times New Roman"/>
          <w:sz w:val="24"/>
          <w:szCs w:val="24"/>
        </w:rPr>
      </w:pPr>
      <w:r w:rsidRPr="00814534">
        <w:rPr>
          <w:rFonts w:ascii="Times New Roman" w:hAnsi="Times New Roman" w:cs="Times New Roman"/>
          <w:sz w:val="24"/>
          <w:szCs w:val="24"/>
        </w:rPr>
        <w:t>Virtual Instruction</w:t>
      </w:r>
      <w:r w:rsidR="00814534">
        <w:rPr>
          <w:rFonts w:ascii="Times New Roman" w:hAnsi="Times New Roman" w:cs="Times New Roman"/>
          <w:sz w:val="24"/>
          <w:szCs w:val="24"/>
        </w:rPr>
        <w:t>?</w:t>
      </w:r>
    </w:p>
    <w:p w14:paraId="0D880DB0" w14:textId="4966AE32" w:rsidR="00F90119" w:rsidRPr="006766D9" w:rsidRDefault="00F90119" w:rsidP="00B47577">
      <w:pPr>
        <w:pStyle w:val="ListParagraph"/>
        <w:numPr>
          <w:ilvl w:val="1"/>
          <w:numId w:val="11"/>
        </w:numPr>
        <w:spacing w:after="240"/>
        <w:ind w:hanging="720"/>
        <w:contextualSpacing w:val="0"/>
        <w:rPr>
          <w:rFonts w:ascii="Times New Roman" w:hAnsi="Times New Roman" w:cs="Times New Roman"/>
          <w:sz w:val="24"/>
          <w:szCs w:val="24"/>
        </w:rPr>
      </w:pPr>
      <w:r w:rsidRPr="006766D9">
        <w:rPr>
          <w:rFonts w:ascii="Times New Roman" w:hAnsi="Times New Roman" w:cs="Times New Roman"/>
          <w:sz w:val="24"/>
          <w:szCs w:val="24"/>
        </w:rPr>
        <w:t>Reassignment to Another School</w:t>
      </w:r>
      <w:r w:rsidR="00814534">
        <w:rPr>
          <w:rFonts w:ascii="Times New Roman" w:hAnsi="Times New Roman" w:cs="Times New Roman"/>
          <w:sz w:val="24"/>
          <w:szCs w:val="24"/>
        </w:rPr>
        <w:t>?</w:t>
      </w:r>
    </w:p>
    <w:p w14:paraId="17D83180" w14:textId="0A2D20A6" w:rsidR="00814534" w:rsidRPr="00383318" w:rsidRDefault="00F90119" w:rsidP="003F23FB">
      <w:pPr>
        <w:pStyle w:val="ListParagraph"/>
        <w:numPr>
          <w:ilvl w:val="0"/>
          <w:numId w:val="1"/>
        </w:numPr>
        <w:spacing w:after="240"/>
        <w:ind w:hanging="720"/>
        <w:contextualSpacing w:val="0"/>
        <w:rPr>
          <w:rFonts w:ascii="Times New Roman" w:hAnsi="Times New Roman" w:cs="Times New Roman"/>
          <w:sz w:val="24"/>
          <w:szCs w:val="24"/>
        </w:rPr>
      </w:pPr>
      <w:r w:rsidRPr="00383318">
        <w:rPr>
          <w:rFonts w:ascii="Times New Roman" w:hAnsi="Times New Roman" w:cs="Times New Roman"/>
          <w:sz w:val="24"/>
          <w:szCs w:val="24"/>
        </w:rPr>
        <w:t>Eligibility</w:t>
      </w:r>
    </w:p>
    <w:p w14:paraId="2A6B9B67" w14:textId="77777777" w:rsidR="00383318" w:rsidRDefault="00814534" w:rsidP="00383318">
      <w:pPr>
        <w:pStyle w:val="ListParagraph"/>
        <w:numPr>
          <w:ilvl w:val="0"/>
          <w:numId w:val="5"/>
        </w:numPr>
        <w:spacing w:after="240"/>
        <w:rPr>
          <w:rFonts w:ascii="Times New Roman" w:hAnsi="Times New Roman" w:cs="Times New Roman"/>
          <w:sz w:val="24"/>
          <w:szCs w:val="24"/>
        </w:rPr>
      </w:pPr>
      <w:r w:rsidRPr="00383318">
        <w:rPr>
          <w:rFonts w:ascii="Times New Roman" w:hAnsi="Times New Roman" w:cs="Times New Roman"/>
          <w:sz w:val="24"/>
          <w:szCs w:val="24"/>
        </w:rPr>
        <w:t>Must be participating in or attempting to participate in the education program or activity of the recipient at the time of filing of the formal complaint.</w:t>
      </w:r>
    </w:p>
    <w:p w14:paraId="4E470C11" w14:textId="77777777" w:rsidR="003F23FB" w:rsidRDefault="00383318" w:rsidP="003F23FB">
      <w:pPr>
        <w:pStyle w:val="ListParagraph"/>
        <w:numPr>
          <w:ilvl w:val="0"/>
          <w:numId w:val="5"/>
        </w:numPr>
        <w:spacing w:after="240"/>
        <w:rPr>
          <w:rFonts w:ascii="Times New Roman" w:hAnsi="Times New Roman" w:cs="Times New Roman"/>
          <w:sz w:val="24"/>
          <w:szCs w:val="24"/>
        </w:rPr>
      </w:pPr>
      <w:r w:rsidRPr="00383318">
        <w:rPr>
          <w:rFonts w:ascii="Times New Roman" w:hAnsi="Times New Roman" w:cs="Times New Roman"/>
          <w:sz w:val="24"/>
          <w:szCs w:val="24"/>
        </w:rPr>
        <w:t>Must occur in the United States</w:t>
      </w:r>
    </w:p>
    <w:p w14:paraId="3781DF25" w14:textId="4D2CE481" w:rsidR="00F90119" w:rsidRPr="003F23FB" w:rsidRDefault="00383318" w:rsidP="003F23FB">
      <w:pPr>
        <w:pStyle w:val="ListParagraph"/>
        <w:numPr>
          <w:ilvl w:val="0"/>
          <w:numId w:val="5"/>
        </w:numPr>
        <w:spacing w:after="240"/>
        <w:contextualSpacing w:val="0"/>
        <w:rPr>
          <w:rFonts w:ascii="Times New Roman" w:hAnsi="Times New Roman" w:cs="Times New Roman"/>
          <w:sz w:val="24"/>
          <w:szCs w:val="24"/>
        </w:rPr>
      </w:pPr>
      <w:r w:rsidRPr="003F23FB">
        <w:rPr>
          <w:rFonts w:ascii="Times New Roman" w:hAnsi="Times New Roman" w:cs="Times New Roman"/>
          <w:sz w:val="24"/>
          <w:szCs w:val="24"/>
        </w:rPr>
        <w:t>W</w:t>
      </w:r>
      <w:r w:rsidR="00F90119" w:rsidRPr="003F23FB">
        <w:rPr>
          <w:rFonts w:ascii="Times New Roman" w:hAnsi="Times New Roman" w:cs="Times New Roman"/>
          <w:sz w:val="24"/>
          <w:szCs w:val="24"/>
        </w:rPr>
        <w:t>hat</w:t>
      </w:r>
      <w:r w:rsidRPr="003F23FB">
        <w:rPr>
          <w:rFonts w:ascii="Times New Roman" w:hAnsi="Times New Roman" w:cs="Times New Roman"/>
          <w:sz w:val="24"/>
          <w:szCs w:val="24"/>
        </w:rPr>
        <w:t xml:space="preserve"> if</w:t>
      </w:r>
      <w:r w:rsidR="00F90119" w:rsidRPr="003F23FB">
        <w:rPr>
          <w:rFonts w:ascii="Times New Roman" w:hAnsi="Times New Roman" w:cs="Times New Roman"/>
          <w:sz w:val="24"/>
          <w:szCs w:val="24"/>
        </w:rPr>
        <w:t xml:space="preserve"> the student </w:t>
      </w:r>
      <w:r w:rsidR="00814534" w:rsidRPr="003F23FB">
        <w:rPr>
          <w:rFonts w:ascii="Times New Roman" w:hAnsi="Times New Roman" w:cs="Times New Roman"/>
          <w:sz w:val="24"/>
          <w:szCs w:val="24"/>
        </w:rPr>
        <w:t xml:space="preserve">or employee </w:t>
      </w:r>
      <w:r w:rsidR="00F90119" w:rsidRPr="003F23FB">
        <w:rPr>
          <w:rFonts w:ascii="Times New Roman" w:hAnsi="Times New Roman" w:cs="Times New Roman"/>
          <w:sz w:val="24"/>
          <w:szCs w:val="24"/>
        </w:rPr>
        <w:t>leaves school after reporting sexual harassment or filing a formal complaint</w:t>
      </w:r>
      <w:r w:rsidR="005376C6" w:rsidRPr="003F23FB">
        <w:rPr>
          <w:rFonts w:ascii="Times New Roman" w:hAnsi="Times New Roman" w:cs="Times New Roman"/>
          <w:sz w:val="24"/>
          <w:szCs w:val="24"/>
        </w:rPr>
        <w:t>?</w:t>
      </w:r>
    </w:p>
    <w:p w14:paraId="07044E2D" w14:textId="77777777" w:rsidR="0067762B" w:rsidRDefault="003D0B96" w:rsidP="0067762B">
      <w:pPr>
        <w:pStyle w:val="ListParagraph"/>
        <w:numPr>
          <w:ilvl w:val="0"/>
          <w:numId w:val="1"/>
        </w:numPr>
        <w:spacing w:after="240"/>
        <w:ind w:hanging="720"/>
        <w:contextualSpacing w:val="0"/>
        <w:rPr>
          <w:rFonts w:ascii="Times New Roman" w:hAnsi="Times New Roman" w:cs="Times New Roman"/>
          <w:sz w:val="24"/>
          <w:szCs w:val="24"/>
        </w:rPr>
      </w:pPr>
      <w:r w:rsidRPr="006766D9">
        <w:rPr>
          <w:rFonts w:ascii="Times New Roman" w:hAnsi="Times New Roman" w:cs="Times New Roman"/>
          <w:sz w:val="24"/>
          <w:szCs w:val="24"/>
        </w:rPr>
        <w:t xml:space="preserve">The </w:t>
      </w:r>
      <w:r w:rsidR="008D35B1">
        <w:rPr>
          <w:rFonts w:ascii="Times New Roman" w:hAnsi="Times New Roman" w:cs="Times New Roman"/>
          <w:sz w:val="24"/>
          <w:szCs w:val="24"/>
        </w:rPr>
        <w:t>P</w:t>
      </w:r>
      <w:r w:rsidRPr="006766D9">
        <w:rPr>
          <w:rFonts w:ascii="Times New Roman" w:hAnsi="Times New Roman" w:cs="Times New Roman"/>
          <w:sz w:val="24"/>
          <w:szCs w:val="24"/>
        </w:rPr>
        <w:t xml:space="preserve">arties’ </w:t>
      </w:r>
      <w:r w:rsidR="008D35B1">
        <w:rPr>
          <w:rFonts w:ascii="Times New Roman" w:hAnsi="Times New Roman" w:cs="Times New Roman"/>
          <w:sz w:val="24"/>
          <w:szCs w:val="24"/>
        </w:rPr>
        <w:t>A</w:t>
      </w:r>
      <w:r w:rsidRPr="006766D9">
        <w:rPr>
          <w:rFonts w:ascii="Times New Roman" w:hAnsi="Times New Roman" w:cs="Times New Roman"/>
          <w:sz w:val="24"/>
          <w:szCs w:val="24"/>
        </w:rPr>
        <w:t xml:space="preserve">ccess to the </w:t>
      </w:r>
      <w:r w:rsidR="008D35B1">
        <w:rPr>
          <w:rFonts w:ascii="Times New Roman" w:hAnsi="Times New Roman" w:cs="Times New Roman"/>
          <w:sz w:val="24"/>
          <w:szCs w:val="24"/>
        </w:rPr>
        <w:t>E</w:t>
      </w:r>
      <w:r w:rsidRPr="006766D9">
        <w:rPr>
          <w:rFonts w:ascii="Times New Roman" w:hAnsi="Times New Roman" w:cs="Times New Roman"/>
          <w:sz w:val="24"/>
          <w:szCs w:val="24"/>
        </w:rPr>
        <w:t>vidence and the Investigative Report-</w:t>
      </w:r>
      <w:r w:rsidR="00F90119" w:rsidRPr="006766D9">
        <w:rPr>
          <w:rFonts w:ascii="Times New Roman" w:hAnsi="Times New Roman" w:cs="Times New Roman"/>
          <w:sz w:val="24"/>
          <w:szCs w:val="24"/>
        </w:rPr>
        <w:t>The Intersection with FERPA</w:t>
      </w:r>
      <w:r w:rsidR="00D97C59">
        <w:rPr>
          <w:rFonts w:ascii="Times New Roman" w:hAnsi="Times New Roman" w:cs="Times New Roman"/>
          <w:sz w:val="24"/>
          <w:szCs w:val="24"/>
        </w:rPr>
        <w:t>.</w:t>
      </w:r>
    </w:p>
    <w:p w14:paraId="1D009096" w14:textId="4D9C7A15" w:rsidR="00814534" w:rsidRPr="0067762B" w:rsidRDefault="00F90119" w:rsidP="0067762B">
      <w:pPr>
        <w:pStyle w:val="ListParagraph"/>
        <w:numPr>
          <w:ilvl w:val="0"/>
          <w:numId w:val="14"/>
        </w:numPr>
        <w:spacing w:after="240"/>
        <w:contextualSpacing w:val="0"/>
        <w:rPr>
          <w:rFonts w:ascii="Times New Roman" w:hAnsi="Times New Roman" w:cs="Times New Roman"/>
          <w:sz w:val="24"/>
          <w:szCs w:val="24"/>
        </w:rPr>
      </w:pPr>
      <w:r w:rsidRPr="0067762B">
        <w:rPr>
          <w:rFonts w:ascii="Times New Roman" w:hAnsi="Times New Roman" w:cs="Times New Roman"/>
          <w:sz w:val="24"/>
          <w:szCs w:val="24"/>
        </w:rPr>
        <w:t xml:space="preserve">Redaction of student </w:t>
      </w:r>
      <w:r w:rsidR="0038091D" w:rsidRPr="0067762B">
        <w:rPr>
          <w:rFonts w:ascii="Times New Roman" w:hAnsi="Times New Roman" w:cs="Times New Roman"/>
          <w:sz w:val="24"/>
          <w:szCs w:val="24"/>
        </w:rPr>
        <w:t xml:space="preserve">witness names and </w:t>
      </w:r>
      <w:proofErr w:type="gramStart"/>
      <w:r w:rsidR="0038091D" w:rsidRPr="0067762B">
        <w:rPr>
          <w:rFonts w:ascii="Times New Roman" w:hAnsi="Times New Roman" w:cs="Times New Roman"/>
          <w:sz w:val="24"/>
          <w:szCs w:val="24"/>
        </w:rPr>
        <w:t>P</w:t>
      </w:r>
      <w:r w:rsidR="00814534" w:rsidRPr="0067762B">
        <w:rPr>
          <w:rFonts w:ascii="Times New Roman" w:hAnsi="Times New Roman" w:cs="Times New Roman"/>
          <w:sz w:val="24"/>
          <w:szCs w:val="24"/>
        </w:rPr>
        <w:t>II</w:t>
      </w:r>
      <w:r w:rsidR="008D35B1" w:rsidRPr="0067762B">
        <w:rPr>
          <w:rFonts w:ascii="Times New Roman" w:hAnsi="Times New Roman" w:cs="Times New Roman"/>
          <w:sz w:val="24"/>
          <w:szCs w:val="24"/>
        </w:rPr>
        <w:t xml:space="preserve"> ?</w:t>
      </w:r>
      <w:proofErr w:type="gramEnd"/>
    </w:p>
    <w:p w14:paraId="6B6C57D8" w14:textId="77777777" w:rsidR="005B22A3" w:rsidRDefault="005B22A3" w:rsidP="005B22A3">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proofErr w:type="gramStart"/>
      <w:r w:rsidRPr="005B22A3">
        <w:rPr>
          <w:rFonts w:ascii="Times New Roman" w:hAnsi="Times New Roman" w:cs="Times New Roman"/>
          <w:sz w:val="24"/>
          <w:szCs w:val="24"/>
        </w:rPr>
        <w:t>Is</w:t>
      </w:r>
      <w:proofErr w:type="gramEnd"/>
      <w:r w:rsidRPr="005B22A3">
        <w:rPr>
          <w:rFonts w:ascii="Times New Roman" w:hAnsi="Times New Roman" w:cs="Times New Roman"/>
          <w:sz w:val="24"/>
          <w:szCs w:val="24"/>
        </w:rPr>
        <w:t xml:space="preserve"> the statement of a student witness the student’s educational record? </w:t>
      </w:r>
    </w:p>
    <w:p w14:paraId="3E72EA3A" w14:textId="77777777" w:rsidR="005B22A3" w:rsidRPr="00D07BFE" w:rsidRDefault="005B22A3" w:rsidP="005B22A3">
      <w:pPr>
        <w:pStyle w:val="ListParagraph"/>
        <w:ind w:left="810"/>
      </w:pPr>
    </w:p>
    <w:p w14:paraId="4A73621B" w14:textId="6E924AB6" w:rsidR="00D07BFE" w:rsidRPr="004B40E8" w:rsidRDefault="00D07BFE" w:rsidP="00D07BFE">
      <w:pPr>
        <w:ind w:left="810"/>
        <w:rPr>
          <w:rFonts w:ascii="Times New Roman" w:hAnsi="Times New Roman" w:cs="Times New Roman"/>
        </w:rPr>
      </w:pPr>
      <w:r w:rsidRPr="004B40E8">
        <w:rPr>
          <w:rFonts w:ascii="Times New Roman" w:hAnsi="Times New Roman" w:cs="Times New Roman"/>
        </w:rPr>
        <w:t xml:space="preserve">The </w:t>
      </w:r>
      <w:r w:rsidR="005B22A3">
        <w:rPr>
          <w:rFonts w:ascii="Times New Roman" w:hAnsi="Times New Roman" w:cs="Times New Roman"/>
        </w:rPr>
        <w:t xml:space="preserve">Title IX </w:t>
      </w:r>
      <w:r w:rsidRPr="004B40E8">
        <w:rPr>
          <w:rFonts w:ascii="Times New Roman" w:hAnsi="Times New Roman" w:cs="Times New Roman"/>
        </w:rPr>
        <w:t>Grievance Process must:</w:t>
      </w:r>
    </w:p>
    <w:p w14:paraId="57493544" w14:textId="589DD8B1" w:rsidR="00D07BFE" w:rsidRPr="004B40E8" w:rsidRDefault="00D07BFE" w:rsidP="00D07BFE">
      <w:pPr>
        <w:ind w:left="810"/>
        <w:rPr>
          <w:rFonts w:ascii="Times New Roman" w:hAnsi="Times New Roman" w:cs="Times New Roman"/>
          <w:i/>
          <w:iCs/>
        </w:rPr>
      </w:pPr>
      <w:r w:rsidRPr="004B40E8">
        <w:rPr>
          <w:rFonts w:ascii="Times New Roman" w:hAnsi="Times New Roman" w:cs="Times New Roman"/>
          <w:i/>
          <w:iCs/>
        </w:rPr>
        <w:t xml:space="preserve">Provide an equal opportunity for the parties to </w:t>
      </w:r>
      <w:r w:rsidRPr="005B22A3">
        <w:rPr>
          <w:rFonts w:ascii="Times New Roman" w:hAnsi="Times New Roman" w:cs="Times New Roman"/>
          <w:b/>
          <w:bCs/>
          <w:i/>
          <w:iCs/>
        </w:rPr>
        <w:t>present witnesses,</w:t>
      </w:r>
      <w:r w:rsidRPr="004B40E8">
        <w:rPr>
          <w:rFonts w:ascii="Times New Roman" w:hAnsi="Times New Roman" w:cs="Times New Roman"/>
          <w:i/>
          <w:iCs/>
        </w:rPr>
        <w:t xml:space="preserve"> including fact and expert witnesses, and other inculpatory and exculpatory evidence.  . . .</w:t>
      </w:r>
    </w:p>
    <w:p w14:paraId="3A8ED2E5" w14:textId="0830AAF1" w:rsidR="00D07BFE" w:rsidRPr="004B40E8" w:rsidRDefault="00D07BFE" w:rsidP="00D07BFE">
      <w:pPr>
        <w:ind w:left="810"/>
        <w:rPr>
          <w:rFonts w:ascii="Times New Roman" w:hAnsi="Times New Roman" w:cs="Times New Roman"/>
        </w:rPr>
      </w:pPr>
      <w:r w:rsidRPr="004B40E8">
        <w:rPr>
          <w:rFonts w:ascii="Times New Roman" w:hAnsi="Times New Roman" w:cs="Times New Roman"/>
          <w:i/>
          <w:iCs/>
        </w:rPr>
        <w:t xml:space="preserve">Provide both parties an equal opportunity </w:t>
      </w:r>
      <w:r w:rsidRPr="005B22A3">
        <w:rPr>
          <w:rFonts w:ascii="Times New Roman" w:hAnsi="Times New Roman" w:cs="Times New Roman"/>
          <w:b/>
          <w:bCs/>
          <w:i/>
          <w:iCs/>
        </w:rPr>
        <w:t>to inspect and review any evidence</w:t>
      </w:r>
      <w:r w:rsidRPr="004B40E8">
        <w:rPr>
          <w:rFonts w:ascii="Times New Roman" w:hAnsi="Times New Roman" w:cs="Times New Roman"/>
          <w:i/>
          <w:iCs/>
        </w:rPr>
        <w:t xml:space="preserve"> obtained as part of the investigation that is directly related to the allegations raised in a formal complaint, including the evidence upon which the recipient does not intend to rely in reaching a determination regarding responsibility and inculpatory or exculpatory evidence whether obtained from a party or other sources, so that each party can meaningfully respond to the evidence prior to conclusion of the investigation. Prior to completion of the investigative report, the recipient m</w:t>
      </w:r>
      <w:r w:rsidR="004B40E8" w:rsidRPr="004B40E8">
        <w:rPr>
          <w:rFonts w:ascii="Times New Roman" w:hAnsi="Times New Roman" w:cs="Times New Roman"/>
          <w:i/>
          <w:iCs/>
        </w:rPr>
        <w:t>ust</w:t>
      </w:r>
      <w:r w:rsidRPr="004B40E8">
        <w:rPr>
          <w:rFonts w:ascii="Times New Roman" w:hAnsi="Times New Roman" w:cs="Times New Roman"/>
          <w:i/>
          <w:iCs/>
        </w:rPr>
        <w:t xml:space="preserve"> send to each party</w:t>
      </w:r>
      <w:r w:rsidR="004B40E8" w:rsidRPr="004B40E8">
        <w:rPr>
          <w:rFonts w:ascii="Times New Roman" w:hAnsi="Times New Roman" w:cs="Times New Roman"/>
          <w:i/>
          <w:iCs/>
        </w:rPr>
        <w:t xml:space="preserve"> and the party’s advisor, if any, </w:t>
      </w:r>
      <w:r w:rsidR="004B40E8" w:rsidRPr="005B22A3">
        <w:rPr>
          <w:rFonts w:ascii="Times New Roman" w:hAnsi="Times New Roman" w:cs="Times New Roman"/>
          <w:b/>
          <w:bCs/>
          <w:i/>
          <w:iCs/>
        </w:rPr>
        <w:t>the evidence subject to inspection and review</w:t>
      </w:r>
      <w:r w:rsidR="004B40E8" w:rsidRPr="004B40E8">
        <w:rPr>
          <w:rFonts w:ascii="Times New Roman" w:hAnsi="Times New Roman" w:cs="Times New Roman"/>
          <w:i/>
          <w:iCs/>
        </w:rPr>
        <w:t xml:space="preserve"> in an electronic format or hard copy, and the parties must have at least 10 days to submit a written response, which the investigator will consider prior to completion of the investigative report. The recipient must make </w:t>
      </w:r>
      <w:r w:rsidR="004B40E8" w:rsidRPr="005B22A3">
        <w:rPr>
          <w:rFonts w:ascii="Times New Roman" w:hAnsi="Times New Roman" w:cs="Times New Roman"/>
          <w:b/>
          <w:bCs/>
          <w:i/>
          <w:iCs/>
        </w:rPr>
        <w:t>all such evidence</w:t>
      </w:r>
      <w:r w:rsidR="004B40E8" w:rsidRPr="004B40E8">
        <w:rPr>
          <w:rFonts w:ascii="Times New Roman" w:hAnsi="Times New Roman" w:cs="Times New Roman"/>
          <w:i/>
          <w:iCs/>
        </w:rPr>
        <w:t xml:space="preserve"> subject to the parties’ inspection and review available </w:t>
      </w:r>
      <w:proofErr w:type="spellStart"/>
      <w:r w:rsidR="004B40E8" w:rsidRPr="004B40E8">
        <w:rPr>
          <w:rFonts w:ascii="Times New Roman" w:hAnsi="Times New Roman" w:cs="Times New Roman"/>
          <w:i/>
          <w:iCs/>
        </w:rPr>
        <w:t>ant</w:t>
      </w:r>
      <w:proofErr w:type="spellEnd"/>
      <w:r w:rsidR="004B40E8" w:rsidRPr="004B40E8">
        <w:rPr>
          <w:rFonts w:ascii="Times New Roman" w:hAnsi="Times New Roman" w:cs="Times New Roman"/>
          <w:i/>
          <w:iCs/>
        </w:rPr>
        <w:t xml:space="preserve"> any hearing to </w:t>
      </w:r>
      <w:proofErr w:type="spellStart"/>
      <w:r w:rsidR="004B40E8" w:rsidRPr="004B40E8">
        <w:rPr>
          <w:rFonts w:ascii="Times New Roman" w:hAnsi="Times New Roman" w:cs="Times New Roman"/>
          <w:i/>
          <w:iCs/>
        </w:rPr>
        <w:t>gibe</w:t>
      </w:r>
      <w:proofErr w:type="spellEnd"/>
      <w:r w:rsidR="004B40E8" w:rsidRPr="004B40E8">
        <w:rPr>
          <w:rFonts w:ascii="Times New Roman" w:hAnsi="Times New Roman" w:cs="Times New Roman"/>
          <w:i/>
          <w:iCs/>
        </w:rPr>
        <w:t xml:space="preserve"> each party equal opportunity to refer to such evidence during the hearing, including for purposes of cross-examination. </w:t>
      </w:r>
      <w:r w:rsidR="004B40E8" w:rsidRPr="004B40E8">
        <w:rPr>
          <w:rFonts w:ascii="Times New Roman" w:hAnsi="Times New Roman" w:cs="Times New Roman"/>
        </w:rPr>
        <w:t>34 CFR 106.45</w:t>
      </w:r>
      <w:r w:rsidR="005B22A3">
        <w:rPr>
          <w:rFonts w:ascii="Times New Roman" w:hAnsi="Times New Roman" w:cs="Times New Roman"/>
        </w:rPr>
        <w:t xml:space="preserve"> (emphasis added).</w:t>
      </w:r>
    </w:p>
    <w:p w14:paraId="5687D252" w14:textId="44597BBD" w:rsidR="00E04360" w:rsidRPr="005B22A3" w:rsidRDefault="004B40E8" w:rsidP="00FB624F">
      <w:pPr>
        <w:spacing w:after="240"/>
        <w:rPr>
          <w:rFonts w:ascii="Times New Roman" w:hAnsi="Times New Roman" w:cs="Times New Roman"/>
          <w:i/>
          <w:iCs/>
          <w:sz w:val="24"/>
          <w:szCs w:val="24"/>
        </w:rPr>
      </w:pPr>
      <w:r w:rsidRPr="004B40E8">
        <w:rPr>
          <w:rFonts w:ascii="Times New Roman" w:hAnsi="Times New Roman" w:cs="Times New Roman"/>
          <w:sz w:val="24"/>
          <w:szCs w:val="24"/>
        </w:rPr>
        <w:t xml:space="preserve">But </w:t>
      </w:r>
      <w:r w:rsidR="005B22A3">
        <w:rPr>
          <w:rFonts w:ascii="Times New Roman" w:hAnsi="Times New Roman" w:cs="Times New Roman"/>
          <w:sz w:val="24"/>
          <w:szCs w:val="24"/>
        </w:rPr>
        <w:t>s</w:t>
      </w:r>
      <w:r w:rsidRPr="004B40E8">
        <w:rPr>
          <w:rFonts w:ascii="Times New Roman" w:hAnsi="Times New Roman" w:cs="Times New Roman"/>
          <w:sz w:val="24"/>
          <w:szCs w:val="24"/>
        </w:rPr>
        <w:t xml:space="preserve">ee, </w:t>
      </w:r>
      <w:r w:rsidR="00E04360" w:rsidRPr="004B40E8">
        <w:rPr>
          <w:rFonts w:ascii="Times New Roman" w:hAnsi="Times New Roman" w:cs="Times New Roman"/>
          <w:sz w:val="24"/>
          <w:szCs w:val="24"/>
        </w:rPr>
        <w:t xml:space="preserve">Section 106.71, </w:t>
      </w:r>
      <w:r w:rsidR="00E04360" w:rsidRPr="005B22A3">
        <w:rPr>
          <w:rFonts w:ascii="Times New Roman" w:hAnsi="Times New Roman" w:cs="Times New Roman"/>
          <w:i/>
          <w:iCs/>
          <w:sz w:val="24"/>
          <w:szCs w:val="24"/>
        </w:rPr>
        <w:t>Retaliation</w:t>
      </w:r>
    </w:p>
    <w:p w14:paraId="6A74DCEF" w14:textId="77777777" w:rsidR="005F6958" w:rsidRPr="005B22A3" w:rsidRDefault="00E04360" w:rsidP="003F23FB">
      <w:pPr>
        <w:pStyle w:val="ListParagraph"/>
        <w:numPr>
          <w:ilvl w:val="0"/>
          <w:numId w:val="4"/>
        </w:numPr>
        <w:ind w:left="1440" w:hanging="720"/>
        <w:rPr>
          <w:rFonts w:ascii="Times New Roman" w:hAnsi="Times New Roman" w:cs="Times New Roman"/>
          <w:sz w:val="24"/>
          <w:szCs w:val="24"/>
        </w:rPr>
      </w:pPr>
      <w:r w:rsidRPr="008D35B1">
        <w:rPr>
          <w:rFonts w:ascii="Times New Roman" w:hAnsi="Times New Roman" w:cs="Times New Roman"/>
          <w:i/>
          <w:iCs/>
          <w:sz w:val="24"/>
          <w:szCs w:val="24"/>
        </w:rPr>
        <w:t xml:space="preserve">Retaliation Prohibited. No recipient or other person may </w:t>
      </w:r>
      <w:r w:rsidR="00814534" w:rsidRPr="008D35B1">
        <w:rPr>
          <w:rFonts w:ascii="Times New Roman" w:hAnsi="Times New Roman" w:cs="Times New Roman"/>
          <w:i/>
          <w:iCs/>
          <w:sz w:val="24"/>
          <w:szCs w:val="24"/>
        </w:rPr>
        <w:t>intimidate</w:t>
      </w:r>
      <w:r w:rsidRPr="008D35B1">
        <w:rPr>
          <w:rFonts w:ascii="Times New Roman" w:hAnsi="Times New Roman" w:cs="Times New Roman"/>
          <w:i/>
          <w:iCs/>
          <w:sz w:val="24"/>
          <w:szCs w:val="24"/>
        </w:rPr>
        <w:t xml:space="preserve">, threaten, coerce or discriminate against any </w:t>
      </w:r>
      <w:r w:rsidR="00814534" w:rsidRPr="008D35B1">
        <w:rPr>
          <w:rFonts w:ascii="Times New Roman" w:hAnsi="Times New Roman" w:cs="Times New Roman"/>
          <w:i/>
          <w:iCs/>
          <w:sz w:val="24"/>
          <w:szCs w:val="24"/>
        </w:rPr>
        <w:t>individual</w:t>
      </w:r>
      <w:r w:rsidRPr="008D35B1">
        <w:rPr>
          <w:rFonts w:ascii="Times New Roman" w:hAnsi="Times New Roman" w:cs="Times New Roman"/>
          <w:i/>
          <w:iCs/>
          <w:sz w:val="24"/>
          <w:szCs w:val="24"/>
        </w:rPr>
        <w:t xml:space="preserve"> for the </w:t>
      </w:r>
      <w:r w:rsidR="00814534" w:rsidRPr="008D35B1">
        <w:rPr>
          <w:rFonts w:ascii="Times New Roman" w:hAnsi="Times New Roman" w:cs="Times New Roman"/>
          <w:i/>
          <w:iCs/>
          <w:sz w:val="24"/>
          <w:szCs w:val="24"/>
        </w:rPr>
        <w:t>purpose</w:t>
      </w:r>
      <w:r w:rsidRPr="008D35B1">
        <w:rPr>
          <w:rFonts w:ascii="Times New Roman" w:hAnsi="Times New Roman" w:cs="Times New Roman"/>
          <w:i/>
          <w:iCs/>
          <w:sz w:val="24"/>
          <w:szCs w:val="24"/>
        </w:rPr>
        <w:t xml:space="preserve"> of interfering with any right or privilege </w:t>
      </w:r>
      <w:r w:rsidR="00814534" w:rsidRPr="008D35B1">
        <w:rPr>
          <w:rFonts w:ascii="Times New Roman" w:hAnsi="Times New Roman" w:cs="Times New Roman"/>
          <w:i/>
          <w:iCs/>
          <w:sz w:val="24"/>
          <w:szCs w:val="24"/>
        </w:rPr>
        <w:t xml:space="preserve">secured </w:t>
      </w:r>
      <w:r w:rsidRPr="008D35B1">
        <w:rPr>
          <w:rFonts w:ascii="Times New Roman" w:hAnsi="Times New Roman" w:cs="Times New Roman"/>
          <w:i/>
          <w:iCs/>
          <w:sz w:val="24"/>
          <w:szCs w:val="24"/>
        </w:rPr>
        <w:t xml:space="preserve">by title IX or this part, or because the individual has made a report or complaint testified, assisted, or </w:t>
      </w:r>
      <w:r w:rsidR="00814534" w:rsidRPr="008D35B1">
        <w:rPr>
          <w:rFonts w:ascii="Times New Roman" w:hAnsi="Times New Roman" w:cs="Times New Roman"/>
          <w:i/>
          <w:iCs/>
          <w:sz w:val="24"/>
          <w:szCs w:val="24"/>
        </w:rPr>
        <w:t>participated</w:t>
      </w:r>
      <w:r w:rsidRPr="008D35B1">
        <w:rPr>
          <w:rFonts w:ascii="Times New Roman" w:hAnsi="Times New Roman" w:cs="Times New Roman"/>
          <w:i/>
          <w:iCs/>
          <w:sz w:val="24"/>
          <w:szCs w:val="24"/>
        </w:rPr>
        <w:t xml:space="preserve"> or refused to participate in any manner in an investigation, </w:t>
      </w:r>
      <w:r w:rsidR="00814534" w:rsidRPr="008D35B1">
        <w:rPr>
          <w:rFonts w:ascii="Times New Roman" w:hAnsi="Times New Roman" w:cs="Times New Roman"/>
          <w:i/>
          <w:iCs/>
          <w:sz w:val="24"/>
          <w:szCs w:val="24"/>
        </w:rPr>
        <w:t>proceeding</w:t>
      </w:r>
      <w:r w:rsidRPr="008D35B1">
        <w:rPr>
          <w:rFonts w:ascii="Times New Roman" w:hAnsi="Times New Roman" w:cs="Times New Roman"/>
          <w:i/>
          <w:iCs/>
          <w:sz w:val="24"/>
          <w:szCs w:val="24"/>
        </w:rPr>
        <w:t>, or hearing under this part. . . .</w:t>
      </w:r>
      <w:r w:rsidRPr="008D35B1">
        <w:rPr>
          <w:rFonts w:ascii="Times New Roman" w:hAnsi="Times New Roman" w:cs="Times New Roman"/>
          <w:b/>
          <w:bCs/>
          <w:i/>
          <w:iCs/>
          <w:sz w:val="24"/>
          <w:szCs w:val="24"/>
        </w:rPr>
        <w:t xml:space="preserve">The recipient must keep confidential the </w:t>
      </w:r>
      <w:r w:rsidR="00814534" w:rsidRPr="008D35B1">
        <w:rPr>
          <w:rFonts w:ascii="Times New Roman" w:hAnsi="Times New Roman" w:cs="Times New Roman"/>
          <w:b/>
          <w:bCs/>
          <w:i/>
          <w:iCs/>
          <w:sz w:val="24"/>
          <w:szCs w:val="24"/>
        </w:rPr>
        <w:t>identity</w:t>
      </w:r>
      <w:r w:rsidRPr="008D35B1">
        <w:rPr>
          <w:rFonts w:ascii="Times New Roman" w:hAnsi="Times New Roman" w:cs="Times New Roman"/>
          <w:b/>
          <w:bCs/>
          <w:i/>
          <w:iCs/>
          <w:sz w:val="24"/>
          <w:szCs w:val="24"/>
        </w:rPr>
        <w:t xml:space="preserve"> o</w:t>
      </w:r>
      <w:r w:rsidR="00814534" w:rsidRPr="008D35B1">
        <w:rPr>
          <w:rFonts w:ascii="Times New Roman" w:hAnsi="Times New Roman" w:cs="Times New Roman"/>
          <w:b/>
          <w:bCs/>
          <w:i/>
          <w:iCs/>
          <w:sz w:val="24"/>
          <w:szCs w:val="24"/>
        </w:rPr>
        <w:t>f</w:t>
      </w:r>
      <w:r w:rsidRPr="008D35B1">
        <w:rPr>
          <w:rFonts w:ascii="Times New Roman" w:hAnsi="Times New Roman" w:cs="Times New Roman"/>
          <w:i/>
          <w:iCs/>
          <w:sz w:val="24"/>
          <w:szCs w:val="24"/>
        </w:rPr>
        <w:t xml:space="preserve"> any individual who has made a report or complaint of sex discrimination, including any </w:t>
      </w:r>
      <w:r w:rsidR="00814534" w:rsidRPr="008D35B1">
        <w:rPr>
          <w:rFonts w:ascii="Times New Roman" w:hAnsi="Times New Roman" w:cs="Times New Roman"/>
          <w:i/>
          <w:iCs/>
          <w:sz w:val="24"/>
          <w:szCs w:val="24"/>
        </w:rPr>
        <w:t>individual</w:t>
      </w:r>
      <w:r w:rsidRPr="008D35B1">
        <w:rPr>
          <w:rFonts w:ascii="Times New Roman" w:hAnsi="Times New Roman" w:cs="Times New Roman"/>
          <w:i/>
          <w:iCs/>
          <w:sz w:val="24"/>
          <w:szCs w:val="24"/>
        </w:rPr>
        <w:t xml:space="preserve"> who has made a report or filed a formal complaint of sexual harassment, </w:t>
      </w:r>
      <w:r w:rsidR="00814534" w:rsidRPr="008D35B1">
        <w:rPr>
          <w:rFonts w:ascii="Times New Roman" w:hAnsi="Times New Roman" w:cs="Times New Roman"/>
          <w:i/>
          <w:iCs/>
          <w:sz w:val="24"/>
          <w:szCs w:val="24"/>
        </w:rPr>
        <w:t>any</w:t>
      </w:r>
      <w:r w:rsidRPr="008D35B1">
        <w:rPr>
          <w:rFonts w:ascii="Times New Roman" w:hAnsi="Times New Roman" w:cs="Times New Roman"/>
          <w:i/>
          <w:iCs/>
          <w:sz w:val="24"/>
          <w:szCs w:val="24"/>
        </w:rPr>
        <w:t xml:space="preserve"> </w:t>
      </w:r>
      <w:r w:rsidR="00814534" w:rsidRPr="008D35B1">
        <w:rPr>
          <w:rFonts w:ascii="Times New Roman" w:hAnsi="Times New Roman" w:cs="Times New Roman"/>
          <w:i/>
          <w:iCs/>
          <w:sz w:val="24"/>
          <w:szCs w:val="24"/>
        </w:rPr>
        <w:t>complaint</w:t>
      </w:r>
      <w:r w:rsidRPr="008D35B1">
        <w:rPr>
          <w:rFonts w:ascii="Times New Roman" w:hAnsi="Times New Roman" w:cs="Times New Roman"/>
          <w:i/>
          <w:iCs/>
          <w:sz w:val="24"/>
          <w:szCs w:val="24"/>
        </w:rPr>
        <w:t xml:space="preserve">, any individual who has been </w:t>
      </w:r>
      <w:r w:rsidR="00814534" w:rsidRPr="008D35B1">
        <w:rPr>
          <w:rFonts w:ascii="Times New Roman" w:hAnsi="Times New Roman" w:cs="Times New Roman"/>
          <w:i/>
          <w:iCs/>
          <w:sz w:val="24"/>
          <w:szCs w:val="24"/>
        </w:rPr>
        <w:t>reported</w:t>
      </w:r>
      <w:r w:rsidRPr="008D35B1">
        <w:rPr>
          <w:rFonts w:ascii="Times New Roman" w:hAnsi="Times New Roman" w:cs="Times New Roman"/>
          <w:i/>
          <w:iCs/>
          <w:sz w:val="24"/>
          <w:szCs w:val="24"/>
        </w:rPr>
        <w:t xml:space="preserve"> to be the </w:t>
      </w:r>
      <w:r w:rsidR="00814534" w:rsidRPr="008D35B1">
        <w:rPr>
          <w:rFonts w:ascii="Times New Roman" w:hAnsi="Times New Roman" w:cs="Times New Roman"/>
          <w:i/>
          <w:iCs/>
          <w:sz w:val="24"/>
          <w:szCs w:val="24"/>
        </w:rPr>
        <w:t>perpetrator</w:t>
      </w:r>
      <w:r w:rsidRPr="008D35B1">
        <w:rPr>
          <w:rFonts w:ascii="Times New Roman" w:hAnsi="Times New Roman" w:cs="Times New Roman"/>
          <w:i/>
          <w:iCs/>
          <w:sz w:val="24"/>
          <w:szCs w:val="24"/>
        </w:rPr>
        <w:t xml:space="preserve"> of sex discrimination, any respondent, and </w:t>
      </w:r>
      <w:r w:rsidRPr="008D35B1">
        <w:rPr>
          <w:rFonts w:ascii="Times New Roman" w:hAnsi="Times New Roman" w:cs="Times New Roman"/>
          <w:b/>
          <w:bCs/>
          <w:i/>
          <w:iCs/>
          <w:sz w:val="24"/>
          <w:szCs w:val="24"/>
        </w:rPr>
        <w:t>any witness</w:t>
      </w:r>
      <w:r w:rsidRPr="008D35B1">
        <w:rPr>
          <w:rFonts w:ascii="Times New Roman" w:hAnsi="Times New Roman" w:cs="Times New Roman"/>
          <w:i/>
          <w:iCs/>
          <w:sz w:val="24"/>
          <w:szCs w:val="24"/>
        </w:rPr>
        <w:t>, except as may be permitted by the FE</w:t>
      </w:r>
      <w:r w:rsidR="00814534" w:rsidRPr="008D35B1">
        <w:rPr>
          <w:rFonts w:ascii="Times New Roman" w:hAnsi="Times New Roman" w:cs="Times New Roman"/>
          <w:i/>
          <w:iCs/>
          <w:sz w:val="24"/>
          <w:szCs w:val="24"/>
        </w:rPr>
        <w:t xml:space="preserve">RPA </w:t>
      </w:r>
      <w:r w:rsidRPr="008D35B1">
        <w:rPr>
          <w:rFonts w:ascii="Times New Roman" w:hAnsi="Times New Roman" w:cs="Times New Roman"/>
          <w:i/>
          <w:iCs/>
          <w:sz w:val="24"/>
          <w:szCs w:val="24"/>
        </w:rPr>
        <w:t xml:space="preserve"> statute, 20 U.S.C. 1232g, or FERPA regulatio</w:t>
      </w:r>
      <w:r w:rsidR="00814534" w:rsidRPr="008D35B1">
        <w:rPr>
          <w:rFonts w:ascii="Times New Roman" w:hAnsi="Times New Roman" w:cs="Times New Roman"/>
          <w:i/>
          <w:iCs/>
          <w:sz w:val="24"/>
          <w:szCs w:val="24"/>
        </w:rPr>
        <w:t xml:space="preserve">ns. </w:t>
      </w:r>
      <w:r w:rsidR="00814534" w:rsidRPr="005B22A3">
        <w:rPr>
          <w:rFonts w:ascii="Times New Roman" w:hAnsi="Times New Roman" w:cs="Times New Roman"/>
          <w:sz w:val="24"/>
          <w:szCs w:val="24"/>
        </w:rPr>
        <w:t>(emphasis added).</w:t>
      </w:r>
    </w:p>
    <w:p w14:paraId="738FEDF3" w14:textId="51D863A2" w:rsidR="00E04360" w:rsidRPr="000D6F59" w:rsidRDefault="00D07BFE" w:rsidP="005F6958">
      <w:pPr>
        <w:rPr>
          <w:rFonts w:ascii="Times New Roman" w:hAnsi="Times New Roman" w:cs="Times New Roman"/>
          <w:sz w:val="24"/>
          <w:szCs w:val="24"/>
        </w:rPr>
      </w:pPr>
      <w:r>
        <w:rPr>
          <w:rFonts w:ascii="Times New Roman" w:hAnsi="Times New Roman" w:cs="Times New Roman"/>
          <w:sz w:val="24"/>
          <w:szCs w:val="24"/>
        </w:rPr>
        <w:t>(</w:t>
      </w:r>
      <w:r w:rsidR="005F6958" w:rsidRPr="000D6F59">
        <w:rPr>
          <w:rFonts w:ascii="Times New Roman" w:hAnsi="Times New Roman" w:cs="Times New Roman"/>
          <w:sz w:val="24"/>
          <w:szCs w:val="24"/>
        </w:rPr>
        <w:t xml:space="preserve">Note: FERPA does not </w:t>
      </w:r>
      <w:r w:rsidR="000D6F59" w:rsidRPr="000D6F59">
        <w:rPr>
          <w:rFonts w:ascii="Times New Roman" w:hAnsi="Times New Roman" w:cs="Times New Roman"/>
          <w:sz w:val="24"/>
          <w:szCs w:val="24"/>
        </w:rPr>
        <w:t xml:space="preserve">specifically </w:t>
      </w:r>
      <w:r w:rsidR="005F6958" w:rsidRPr="000D6F59">
        <w:rPr>
          <w:rFonts w:ascii="Times New Roman" w:hAnsi="Times New Roman" w:cs="Times New Roman"/>
          <w:sz w:val="24"/>
          <w:szCs w:val="24"/>
        </w:rPr>
        <w:t>authorize disclosure of PII</w:t>
      </w:r>
      <w:r w:rsidR="00032BE5" w:rsidRPr="000D6F59">
        <w:rPr>
          <w:rFonts w:ascii="Times New Roman" w:hAnsi="Times New Roman" w:cs="Times New Roman"/>
          <w:sz w:val="24"/>
          <w:szCs w:val="24"/>
        </w:rPr>
        <w:t xml:space="preserve"> (assuming the identity of a </w:t>
      </w:r>
      <w:r w:rsidR="005B22A3">
        <w:rPr>
          <w:rFonts w:ascii="Times New Roman" w:hAnsi="Times New Roman" w:cs="Times New Roman"/>
          <w:sz w:val="24"/>
          <w:szCs w:val="24"/>
        </w:rPr>
        <w:t xml:space="preserve">student </w:t>
      </w:r>
      <w:r w:rsidR="00032BE5" w:rsidRPr="000D6F59">
        <w:rPr>
          <w:rFonts w:ascii="Times New Roman" w:hAnsi="Times New Roman" w:cs="Times New Roman"/>
          <w:sz w:val="24"/>
          <w:szCs w:val="24"/>
        </w:rPr>
        <w:t xml:space="preserve">witness or the statement </w:t>
      </w:r>
      <w:r w:rsidR="005B22A3">
        <w:rPr>
          <w:rFonts w:ascii="Times New Roman" w:hAnsi="Times New Roman" w:cs="Times New Roman"/>
          <w:sz w:val="24"/>
          <w:szCs w:val="24"/>
        </w:rPr>
        <w:t xml:space="preserve">of the witness </w:t>
      </w:r>
      <w:r w:rsidR="00032BE5" w:rsidRPr="000D6F59">
        <w:rPr>
          <w:rFonts w:ascii="Times New Roman" w:hAnsi="Times New Roman" w:cs="Times New Roman"/>
          <w:sz w:val="24"/>
          <w:szCs w:val="24"/>
        </w:rPr>
        <w:t>is PII as to the witness) in a Title IX administrative hearing.  In contrast, the FERPA regulations limit disclosure of disciplinary PII except to a victim of an alleged perpetrator of a crime of violence or a non-forcible sex offense at the post</w:t>
      </w:r>
      <w:r w:rsidR="000D6F59" w:rsidRPr="000D6F59">
        <w:rPr>
          <w:rFonts w:ascii="Times New Roman" w:hAnsi="Times New Roman" w:cs="Times New Roman"/>
          <w:sz w:val="24"/>
          <w:szCs w:val="24"/>
        </w:rPr>
        <w:t>-</w:t>
      </w:r>
      <w:r w:rsidR="00032BE5" w:rsidRPr="000D6F59">
        <w:rPr>
          <w:rFonts w:ascii="Times New Roman" w:hAnsi="Times New Roman" w:cs="Times New Roman"/>
          <w:sz w:val="24"/>
          <w:szCs w:val="24"/>
        </w:rPr>
        <w:t>secondary level, and then only the final results</w:t>
      </w:r>
      <w:r w:rsidR="00814534" w:rsidRPr="000D6F59">
        <w:rPr>
          <w:rFonts w:ascii="Times New Roman" w:hAnsi="Times New Roman" w:cs="Times New Roman"/>
          <w:sz w:val="24"/>
          <w:szCs w:val="24"/>
        </w:rPr>
        <w:t xml:space="preserve"> </w:t>
      </w:r>
      <w:r w:rsidR="00032BE5" w:rsidRPr="000D6F59">
        <w:rPr>
          <w:rFonts w:ascii="Times New Roman" w:hAnsi="Times New Roman" w:cs="Times New Roman"/>
          <w:sz w:val="24"/>
          <w:szCs w:val="24"/>
        </w:rPr>
        <w:t>may be disclosed</w:t>
      </w:r>
      <w:r w:rsidR="000D6F59" w:rsidRPr="000D6F59">
        <w:rPr>
          <w:rFonts w:ascii="Times New Roman" w:hAnsi="Times New Roman" w:cs="Times New Roman"/>
          <w:sz w:val="24"/>
          <w:szCs w:val="24"/>
        </w:rPr>
        <w:t xml:space="preserve">. 34 CFR </w:t>
      </w:r>
      <w:r w:rsidR="000D6F59">
        <w:rPr>
          <w:rFonts w:ascii="Times New Roman" w:hAnsi="Times New Roman" w:cs="Times New Roman"/>
          <w:sz w:val="24"/>
          <w:szCs w:val="24"/>
        </w:rPr>
        <w:t xml:space="preserve">§ </w:t>
      </w:r>
      <w:r w:rsidR="000D6F59" w:rsidRPr="000D6F59">
        <w:rPr>
          <w:rFonts w:ascii="Times New Roman" w:hAnsi="Times New Roman" w:cs="Times New Roman"/>
          <w:sz w:val="24"/>
          <w:szCs w:val="24"/>
        </w:rPr>
        <w:t xml:space="preserve">99. 31 (13) and (14); </w:t>
      </w:r>
      <w:r w:rsidR="000D6F59">
        <w:rPr>
          <w:rFonts w:ascii="Times New Roman" w:hAnsi="Times New Roman" w:cs="Times New Roman"/>
          <w:sz w:val="24"/>
          <w:szCs w:val="24"/>
        </w:rPr>
        <w:t>§</w:t>
      </w:r>
      <w:r>
        <w:rPr>
          <w:rFonts w:ascii="Times New Roman" w:hAnsi="Times New Roman" w:cs="Times New Roman"/>
          <w:sz w:val="24"/>
          <w:szCs w:val="24"/>
        </w:rPr>
        <w:t xml:space="preserve"> </w:t>
      </w:r>
      <w:r w:rsidR="000D6F59" w:rsidRPr="000D6F59">
        <w:rPr>
          <w:rFonts w:ascii="Times New Roman" w:hAnsi="Times New Roman" w:cs="Times New Roman"/>
          <w:sz w:val="24"/>
          <w:szCs w:val="24"/>
        </w:rPr>
        <w:t>99.39.</w:t>
      </w:r>
      <w:r>
        <w:rPr>
          <w:rFonts w:ascii="Times New Roman" w:hAnsi="Times New Roman" w:cs="Times New Roman"/>
          <w:sz w:val="24"/>
          <w:szCs w:val="24"/>
        </w:rPr>
        <w:t>)</w:t>
      </w:r>
      <w:r w:rsidR="00032BE5" w:rsidRPr="000D6F59">
        <w:rPr>
          <w:rFonts w:ascii="Times New Roman" w:hAnsi="Times New Roman" w:cs="Times New Roman"/>
          <w:sz w:val="24"/>
          <w:szCs w:val="24"/>
        </w:rPr>
        <w:t xml:space="preserve"> </w:t>
      </w:r>
    </w:p>
    <w:p w14:paraId="1CCA596A" w14:textId="5ED4D0E8" w:rsidR="00E04360" w:rsidRPr="00FB624F" w:rsidRDefault="00E04360" w:rsidP="00FB624F">
      <w:pPr>
        <w:spacing w:after="240"/>
        <w:rPr>
          <w:rFonts w:ascii="Times New Roman" w:hAnsi="Times New Roman" w:cs="Times New Roman"/>
          <w:sz w:val="24"/>
          <w:szCs w:val="24"/>
        </w:rPr>
      </w:pPr>
      <w:r w:rsidRPr="00FB624F">
        <w:rPr>
          <w:rFonts w:ascii="Times New Roman" w:hAnsi="Times New Roman" w:cs="Times New Roman"/>
          <w:sz w:val="24"/>
          <w:szCs w:val="24"/>
        </w:rPr>
        <w:t xml:space="preserve">From the comments to the </w:t>
      </w:r>
      <w:r w:rsidR="00D07BFE">
        <w:rPr>
          <w:rFonts w:ascii="Times New Roman" w:hAnsi="Times New Roman" w:cs="Times New Roman"/>
          <w:sz w:val="24"/>
          <w:szCs w:val="24"/>
        </w:rPr>
        <w:t xml:space="preserve">Title IX </w:t>
      </w:r>
      <w:r w:rsidRPr="00FB624F">
        <w:rPr>
          <w:rFonts w:ascii="Times New Roman" w:hAnsi="Times New Roman" w:cs="Times New Roman"/>
          <w:sz w:val="24"/>
          <w:szCs w:val="24"/>
        </w:rPr>
        <w:t xml:space="preserve">regulation: </w:t>
      </w:r>
      <w:r w:rsidR="000D6F59">
        <w:rPr>
          <w:rFonts w:ascii="Times New Roman" w:hAnsi="Times New Roman" w:cs="Times New Roman"/>
          <w:sz w:val="24"/>
          <w:szCs w:val="24"/>
        </w:rPr>
        <w:t xml:space="preserve"> </w:t>
      </w:r>
    </w:p>
    <w:p w14:paraId="043EB9EF" w14:textId="2E1930D6" w:rsidR="00E04360" w:rsidRPr="008D35B1" w:rsidRDefault="00814534" w:rsidP="003F23FB">
      <w:pPr>
        <w:autoSpaceDE w:val="0"/>
        <w:autoSpaceDN w:val="0"/>
        <w:adjustRightInd w:val="0"/>
        <w:spacing w:after="240" w:line="240" w:lineRule="auto"/>
        <w:ind w:left="720"/>
        <w:rPr>
          <w:rFonts w:ascii="Times New Roman" w:hAnsi="Times New Roman" w:cs="Times New Roman"/>
          <w:i/>
          <w:iCs/>
          <w:sz w:val="24"/>
          <w:szCs w:val="24"/>
        </w:rPr>
      </w:pPr>
      <w:r w:rsidRPr="008D35B1">
        <w:rPr>
          <w:rFonts w:ascii="Times New Roman" w:hAnsi="Times New Roman" w:cs="Times New Roman"/>
          <w:i/>
          <w:iCs/>
          <w:sz w:val="24"/>
          <w:szCs w:val="24"/>
        </w:rPr>
        <w:t xml:space="preserve">P. </w:t>
      </w:r>
      <w:r w:rsidR="00E04360" w:rsidRPr="008D35B1">
        <w:rPr>
          <w:rFonts w:ascii="Times New Roman" w:hAnsi="Times New Roman" w:cs="Times New Roman"/>
          <w:i/>
          <w:iCs/>
          <w:sz w:val="24"/>
          <w:szCs w:val="24"/>
        </w:rPr>
        <w:t xml:space="preserve">164: Section 106.71(a) requires recipients to 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w:t>
      </w:r>
      <w:r w:rsidR="00E04360" w:rsidRPr="008D35B1">
        <w:rPr>
          <w:rFonts w:ascii="Times New Roman" w:hAnsi="Times New Roman" w:cs="Times New Roman"/>
          <w:i/>
          <w:iCs/>
          <w:sz w:val="24"/>
          <w:szCs w:val="24"/>
        </w:rPr>
        <w:lastRenderedPageBreak/>
        <w:t xml:space="preserve">discrimination, any respondent, </w:t>
      </w:r>
      <w:r w:rsidR="00E04360" w:rsidRPr="00D07BFE">
        <w:rPr>
          <w:rFonts w:ascii="Times New Roman" w:hAnsi="Times New Roman" w:cs="Times New Roman"/>
          <w:sz w:val="24"/>
          <w:szCs w:val="24"/>
        </w:rPr>
        <w:t>and any witness</w:t>
      </w:r>
      <w:r w:rsidR="00E04360" w:rsidRPr="008D35B1">
        <w:rPr>
          <w:rFonts w:ascii="Times New Roman" w:hAnsi="Times New Roman" w:cs="Times New Roman"/>
          <w:i/>
          <w:iCs/>
          <w:sz w:val="24"/>
          <w:szCs w:val="24"/>
        </w:rPr>
        <w:t xml:space="preserve"> (unless permitted by FERPA, or required under law, or as necessary to conduct proceedings under Title IX),</w:t>
      </w:r>
    </w:p>
    <w:p w14:paraId="5CDC3159" w14:textId="5A99B370" w:rsidR="00E04360" w:rsidRPr="008D35B1" w:rsidRDefault="00383318" w:rsidP="003F23FB">
      <w:pPr>
        <w:autoSpaceDE w:val="0"/>
        <w:autoSpaceDN w:val="0"/>
        <w:adjustRightInd w:val="0"/>
        <w:spacing w:after="240" w:line="240" w:lineRule="auto"/>
        <w:ind w:left="720"/>
        <w:rPr>
          <w:rFonts w:ascii="Times New Roman" w:hAnsi="Times New Roman" w:cs="Times New Roman"/>
          <w:i/>
          <w:iCs/>
          <w:sz w:val="24"/>
          <w:szCs w:val="24"/>
        </w:rPr>
      </w:pPr>
      <w:r w:rsidRPr="008D35B1">
        <w:rPr>
          <w:rFonts w:ascii="Times New Roman" w:hAnsi="Times New Roman" w:cs="Times New Roman"/>
          <w:i/>
          <w:iCs/>
          <w:sz w:val="24"/>
          <w:szCs w:val="24"/>
        </w:rPr>
        <w:t>P.</w:t>
      </w:r>
      <w:r w:rsidR="003F23FB" w:rsidRPr="008D35B1">
        <w:rPr>
          <w:rFonts w:ascii="Times New Roman" w:hAnsi="Times New Roman" w:cs="Times New Roman"/>
          <w:i/>
          <w:iCs/>
          <w:sz w:val="24"/>
          <w:szCs w:val="24"/>
        </w:rPr>
        <w:t xml:space="preserve"> </w:t>
      </w:r>
      <w:r w:rsidR="00E04360" w:rsidRPr="008D35B1">
        <w:rPr>
          <w:rFonts w:ascii="Times New Roman" w:hAnsi="Times New Roman" w:cs="Times New Roman"/>
          <w:i/>
          <w:iCs/>
          <w:sz w:val="24"/>
          <w:szCs w:val="24"/>
        </w:rPr>
        <w:t xml:space="preserve">397: We have added § 106.71(a) requiring recipients to 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discrimination, any respondent, </w:t>
      </w:r>
      <w:r w:rsidR="00E04360" w:rsidRPr="00D07BFE">
        <w:rPr>
          <w:rFonts w:ascii="Times New Roman" w:hAnsi="Times New Roman" w:cs="Times New Roman"/>
          <w:sz w:val="24"/>
          <w:szCs w:val="24"/>
        </w:rPr>
        <w:t>and any witness</w:t>
      </w:r>
      <w:r w:rsidR="00E04360" w:rsidRPr="008D35B1">
        <w:rPr>
          <w:rFonts w:ascii="Times New Roman" w:hAnsi="Times New Roman" w:cs="Times New Roman"/>
          <w:i/>
          <w:iCs/>
          <w:sz w:val="24"/>
          <w:szCs w:val="24"/>
        </w:rPr>
        <w:t>, except as permitted by FERPA, required by law, or as necessary to carry out the purposes of 34 CFR part 106 to conduct any investigation, hearing, or judicial proceeding arising thereunder, which includes a grievance process.</w:t>
      </w:r>
    </w:p>
    <w:p w14:paraId="317F3411" w14:textId="797E59F3" w:rsidR="00E04360" w:rsidRPr="003A3C97" w:rsidRDefault="003F23FB" w:rsidP="003F23FB">
      <w:pPr>
        <w:pStyle w:val="ListParagraph"/>
        <w:autoSpaceDE w:val="0"/>
        <w:autoSpaceDN w:val="0"/>
        <w:adjustRightInd w:val="0"/>
        <w:spacing w:after="0" w:line="240" w:lineRule="auto"/>
        <w:rPr>
          <w:rFonts w:ascii="Times New Roman" w:hAnsi="Times New Roman" w:cs="Times New Roman"/>
          <w:sz w:val="24"/>
          <w:szCs w:val="24"/>
        </w:rPr>
      </w:pPr>
      <w:r w:rsidRPr="008D35B1">
        <w:rPr>
          <w:rFonts w:ascii="Times New Roman" w:hAnsi="Times New Roman" w:cs="Times New Roman"/>
          <w:i/>
          <w:iCs/>
          <w:sz w:val="24"/>
          <w:szCs w:val="24"/>
        </w:rPr>
        <w:t xml:space="preserve">P. </w:t>
      </w:r>
      <w:r w:rsidR="00E04360" w:rsidRPr="008D35B1">
        <w:rPr>
          <w:rFonts w:ascii="Times New Roman" w:hAnsi="Times New Roman" w:cs="Times New Roman"/>
          <w:i/>
          <w:iCs/>
          <w:sz w:val="24"/>
          <w:szCs w:val="24"/>
        </w:rPr>
        <w:t xml:space="preserve">977: The retaliation provision also requires that the identities of complainants, respondents, </w:t>
      </w:r>
      <w:r w:rsidR="00E04360" w:rsidRPr="00D07BFE">
        <w:rPr>
          <w:rFonts w:ascii="Times New Roman" w:hAnsi="Times New Roman" w:cs="Times New Roman"/>
          <w:b/>
          <w:bCs/>
          <w:i/>
          <w:iCs/>
          <w:sz w:val="24"/>
          <w:szCs w:val="24"/>
        </w:rPr>
        <w:t>and witnesses</w:t>
      </w:r>
      <w:r w:rsidR="00E04360" w:rsidRPr="008D35B1">
        <w:rPr>
          <w:rFonts w:ascii="Times New Roman" w:hAnsi="Times New Roman" w:cs="Times New Roman"/>
          <w:i/>
          <w:iCs/>
          <w:sz w:val="24"/>
          <w:szCs w:val="24"/>
        </w:rPr>
        <w:t xml:space="preserve"> must be kept confidential, except as permitted by FERPA, required by law, or to the extent necessary to carry out a Title IX grievance process. Section 106.71 also authorizes parties to file complaints alleging retaliation under § 106.8(c) which requires recipients to adopt and publish grievance procedures that provide for the prompt and equitable resolution of complaints of sex discrimination. The Department believes that this provision will deter retaliation, as well as afford parties and the recipient the opportunity promptly to redress retaliation that does occur.</w:t>
      </w:r>
      <w:r w:rsidR="005B22A3">
        <w:rPr>
          <w:rFonts w:ascii="Times New Roman" w:hAnsi="Times New Roman" w:cs="Times New Roman"/>
          <w:i/>
          <w:iCs/>
          <w:sz w:val="24"/>
          <w:szCs w:val="24"/>
        </w:rPr>
        <w:t xml:space="preserve"> </w:t>
      </w:r>
      <w:r w:rsidR="005B22A3" w:rsidRPr="003A3C97">
        <w:rPr>
          <w:rFonts w:ascii="Times New Roman" w:hAnsi="Times New Roman" w:cs="Times New Roman"/>
          <w:sz w:val="24"/>
          <w:szCs w:val="24"/>
        </w:rPr>
        <w:t>(emphasis added).</w:t>
      </w:r>
    </w:p>
    <w:p w14:paraId="39A36116" w14:textId="4BD05D70" w:rsidR="005B22A3" w:rsidRDefault="005B22A3" w:rsidP="003F23FB">
      <w:pPr>
        <w:pStyle w:val="ListParagraph"/>
        <w:autoSpaceDE w:val="0"/>
        <w:autoSpaceDN w:val="0"/>
        <w:adjustRightInd w:val="0"/>
        <w:spacing w:after="0" w:line="240" w:lineRule="auto"/>
        <w:rPr>
          <w:rFonts w:ascii="Times New Roman" w:hAnsi="Times New Roman" w:cs="Times New Roman"/>
          <w:i/>
          <w:iCs/>
          <w:sz w:val="24"/>
          <w:szCs w:val="24"/>
        </w:rPr>
      </w:pPr>
    </w:p>
    <w:p w14:paraId="779CFB30" w14:textId="77777777" w:rsidR="005B22A3" w:rsidRPr="005B22A3" w:rsidRDefault="005B22A3" w:rsidP="005B22A3">
      <w:pPr>
        <w:pStyle w:val="ListParagraph"/>
        <w:autoSpaceDE w:val="0"/>
        <w:autoSpaceDN w:val="0"/>
        <w:adjustRightInd w:val="0"/>
        <w:spacing w:after="0" w:line="240" w:lineRule="auto"/>
        <w:ind w:left="810"/>
        <w:rPr>
          <w:rFonts w:ascii="Times New Roman" w:hAnsi="Times New Roman" w:cs="Times New Roman"/>
          <w:sz w:val="24"/>
          <w:szCs w:val="24"/>
        </w:rPr>
      </w:pPr>
    </w:p>
    <w:p w14:paraId="1569AC35" w14:textId="461C2799" w:rsidR="005B22A3" w:rsidRDefault="00D07BFE" w:rsidP="00F705C9">
      <w:pPr>
        <w:pStyle w:val="ListParagraph"/>
        <w:numPr>
          <w:ilvl w:val="0"/>
          <w:numId w:val="10"/>
        </w:numPr>
        <w:rPr>
          <w:rFonts w:ascii="Times New Roman" w:hAnsi="Times New Roman" w:cs="Times New Roman"/>
          <w:sz w:val="24"/>
          <w:szCs w:val="24"/>
        </w:rPr>
      </w:pPr>
      <w:r w:rsidRPr="00F705C9">
        <w:rPr>
          <w:rFonts w:ascii="Times New Roman" w:hAnsi="Times New Roman" w:cs="Times New Roman"/>
          <w:sz w:val="24"/>
          <w:szCs w:val="24"/>
        </w:rPr>
        <w:t>Production of investigator’s personal and deliberative notes?</w:t>
      </w:r>
    </w:p>
    <w:p w14:paraId="11A2CD15" w14:textId="2B891F66" w:rsidR="00D07BFE" w:rsidRPr="00F705C9" w:rsidRDefault="00D07BFE" w:rsidP="00F705C9">
      <w:pPr>
        <w:pStyle w:val="ListParagraph"/>
        <w:numPr>
          <w:ilvl w:val="0"/>
          <w:numId w:val="10"/>
        </w:numPr>
        <w:rPr>
          <w:rFonts w:ascii="Times New Roman" w:hAnsi="Times New Roman" w:cs="Times New Roman"/>
          <w:sz w:val="24"/>
          <w:szCs w:val="24"/>
        </w:rPr>
      </w:pPr>
      <w:r w:rsidRPr="00F705C9">
        <w:rPr>
          <w:rFonts w:ascii="Times New Roman" w:hAnsi="Times New Roman" w:cs="Times New Roman"/>
          <w:sz w:val="24"/>
          <w:szCs w:val="24"/>
        </w:rPr>
        <w:t>Production of drafts of Investigative Report, Determination of Responsibility and Appeal Decision Letters?</w:t>
      </w:r>
    </w:p>
    <w:p w14:paraId="4256F309" w14:textId="77777777" w:rsidR="00D07BFE" w:rsidRPr="008D35B1" w:rsidRDefault="00D07BFE" w:rsidP="003F23FB">
      <w:pPr>
        <w:pStyle w:val="ListParagraph"/>
        <w:autoSpaceDE w:val="0"/>
        <w:autoSpaceDN w:val="0"/>
        <w:adjustRightInd w:val="0"/>
        <w:spacing w:after="0" w:line="240" w:lineRule="auto"/>
        <w:rPr>
          <w:rFonts w:ascii="Times New Roman" w:hAnsi="Times New Roman" w:cs="Times New Roman"/>
          <w:i/>
          <w:iCs/>
          <w:sz w:val="24"/>
          <w:szCs w:val="24"/>
        </w:rPr>
      </w:pPr>
    </w:p>
    <w:sectPr w:rsidR="00D07BFE" w:rsidRPr="008D35B1" w:rsidSect="006766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1CC5E" w14:textId="77777777" w:rsidR="005D669C" w:rsidRDefault="005D669C" w:rsidP="006766D9">
      <w:pPr>
        <w:spacing w:after="0" w:line="240" w:lineRule="auto"/>
      </w:pPr>
      <w:r>
        <w:separator/>
      </w:r>
    </w:p>
  </w:endnote>
  <w:endnote w:type="continuationSeparator" w:id="0">
    <w:p w14:paraId="1E3AD771" w14:textId="77777777" w:rsidR="005D669C" w:rsidRDefault="005D669C" w:rsidP="0067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7A73F" w14:textId="77777777" w:rsidR="005D669C" w:rsidRDefault="005D669C" w:rsidP="006766D9">
      <w:pPr>
        <w:spacing w:after="0" w:line="240" w:lineRule="auto"/>
      </w:pPr>
      <w:r>
        <w:separator/>
      </w:r>
    </w:p>
  </w:footnote>
  <w:footnote w:type="continuationSeparator" w:id="0">
    <w:p w14:paraId="38970F87" w14:textId="77777777" w:rsidR="005D669C" w:rsidRDefault="005D669C" w:rsidP="0067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B5D01"/>
    <w:multiLevelType w:val="hybridMultilevel"/>
    <w:tmpl w:val="B24C7BA2"/>
    <w:lvl w:ilvl="0" w:tplc="7C0EC58A">
      <w:start w:val="1"/>
      <w:numFmt w:val="upperRoman"/>
      <w:lvlText w:val="%1."/>
      <w:lvlJc w:val="left"/>
      <w:pPr>
        <w:ind w:left="720" w:hanging="360"/>
      </w:pPr>
      <w:rPr>
        <w:rFonts w:ascii="Times New Roman" w:eastAsiaTheme="minorHAnsi" w:hAnsi="Times New Roman" w:cs="Times New Roman"/>
      </w:rPr>
    </w:lvl>
    <w:lvl w:ilvl="1" w:tplc="C0DA0C9E">
      <w:start w:val="1"/>
      <w:numFmt w:val="decimal"/>
      <w:lvlText w:val="%2."/>
      <w:lvlJc w:val="left"/>
      <w:pPr>
        <w:ind w:left="1440" w:hanging="360"/>
      </w:pPr>
      <w:rPr>
        <w:rFonts w:ascii="Times New Roman" w:eastAsiaTheme="minorHAnsi" w:hAnsi="Times New Roman" w:cs="Times New Roman"/>
      </w:rPr>
    </w:lvl>
    <w:lvl w:ilvl="2" w:tplc="A1FEF436">
      <w:start w:val="3"/>
      <w:numFmt w:val="lowerLetter"/>
      <w:lvlText w:val="%3."/>
      <w:lvlJc w:val="left"/>
      <w:pPr>
        <w:ind w:left="2340" w:hanging="360"/>
      </w:pPr>
      <w:rPr>
        <w:rFonts w:hint="default"/>
      </w:rPr>
    </w:lvl>
    <w:lvl w:ilvl="3" w:tplc="11DA48D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81B9C"/>
    <w:multiLevelType w:val="hybridMultilevel"/>
    <w:tmpl w:val="AC7475C8"/>
    <w:lvl w:ilvl="0" w:tplc="7C0EC58A">
      <w:start w:val="1"/>
      <w:numFmt w:val="upperRoman"/>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A1FEF436">
      <w:start w:val="3"/>
      <w:numFmt w:val="lowerLetter"/>
      <w:lvlText w:val="%3."/>
      <w:lvlJc w:val="left"/>
      <w:pPr>
        <w:ind w:left="2340" w:hanging="360"/>
      </w:pPr>
      <w:rPr>
        <w:rFonts w:hint="default"/>
      </w:rPr>
    </w:lvl>
    <w:lvl w:ilvl="3" w:tplc="11DA48D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402F3"/>
    <w:multiLevelType w:val="hybridMultilevel"/>
    <w:tmpl w:val="8D7097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FA64B24"/>
    <w:multiLevelType w:val="hybridMultilevel"/>
    <w:tmpl w:val="B37E61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142F26"/>
    <w:multiLevelType w:val="hybridMultilevel"/>
    <w:tmpl w:val="F21CC07A"/>
    <w:lvl w:ilvl="0" w:tplc="7C0EC58A">
      <w:start w:val="1"/>
      <w:numFmt w:val="upperRoman"/>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A1FEF436">
      <w:start w:val="3"/>
      <w:numFmt w:val="lowerLetter"/>
      <w:lvlText w:val="%3."/>
      <w:lvlJc w:val="left"/>
      <w:pPr>
        <w:ind w:left="2340" w:hanging="360"/>
      </w:pPr>
      <w:rPr>
        <w:rFonts w:hint="default"/>
      </w:rPr>
    </w:lvl>
    <w:lvl w:ilvl="3" w:tplc="11DA48D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77D5F"/>
    <w:multiLevelType w:val="hybridMultilevel"/>
    <w:tmpl w:val="F1304AE8"/>
    <w:lvl w:ilvl="0" w:tplc="7C0EC58A">
      <w:start w:val="1"/>
      <w:numFmt w:val="upperRoman"/>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A1FEF436">
      <w:start w:val="3"/>
      <w:numFmt w:val="lowerLetter"/>
      <w:lvlText w:val="%3."/>
      <w:lvlJc w:val="left"/>
      <w:pPr>
        <w:ind w:left="2340" w:hanging="360"/>
      </w:pPr>
      <w:rPr>
        <w:rFonts w:hint="default"/>
      </w:rPr>
    </w:lvl>
    <w:lvl w:ilvl="3" w:tplc="11DA48D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A73A8"/>
    <w:multiLevelType w:val="hybridMultilevel"/>
    <w:tmpl w:val="4EBAC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6559D5"/>
    <w:multiLevelType w:val="hybridMultilevel"/>
    <w:tmpl w:val="6644A6F0"/>
    <w:lvl w:ilvl="0" w:tplc="04090015">
      <w:start w:val="1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560AB"/>
    <w:multiLevelType w:val="hybridMultilevel"/>
    <w:tmpl w:val="9DA409A8"/>
    <w:lvl w:ilvl="0" w:tplc="03E26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24FE8"/>
    <w:multiLevelType w:val="hybridMultilevel"/>
    <w:tmpl w:val="98522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3734CB"/>
    <w:multiLevelType w:val="hybridMultilevel"/>
    <w:tmpl w:val="1B643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EE338D"/>
    <w:multiLevelType w:val="hybridMultilevel"/>
    <w:tmpl w:val="AEEE70D2"/>
    <w:lvl w:ilvl="0" w:tplc="7C0EC58A">
      <w:start w:val="1"/>
      <w:numFmt w:val="upperRoman"/>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A1FEF436">
      <w:start w:val="3"/>
      <w:numFmt w:val="lowerLetter"/>
      <w:lvlText w:val="%3."/>
      <w:lvlJc w:val="left"/>
      <w:pPr>
        <w:ind w:left="2340" w:hanging="360"/>
      </w:pPr>
      <w:rPr>
        <w:rFonts w:hint="default"/>
      </w:rPr>
    </w:lvl>
    <w:lvl w:ilvl="3" w:tplc="11DA48D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593EFA"/>
    <w:multiLevelType w:val="hybridMultilevel"/>
    <w:tmpl w:val="B3FE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C3B85"/>
    <w:multiLevelType w:val="hybridMultilevel"/>
    <w:tmpl w:val="5012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8"/>
  </w:num>
  <w:num w:numId="5">
    <w:abstractNumId w:val="9"/>
  </w:num>
  <w:num w:numId="6">
    <w:abstractNumId w:val="7"/>
  </w:num>
  <w:num w:numId="7">
    <w:abstractNumId w:val="11"/>
  </w:num>
  <w:num w:numId="8">
    <w:abstractNumId w:val="1"/>
  </w:num>
  <w:num w:numId="9">
    <w:abstractNumId w:val="5"/>
  </w:num>
  <w:num w:numId="10">
    <w:abstractNumId w:val="3"/>
  </w:num>
  <w:num w:numId="11">
    <w:abstractNumId w:val="4"/>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NzUxMLM0MrY0NjBU0lEKTi0uzszPAykwrAUAzeY6VywAAAA="/>
  </w:docVars>
  <w:rsids>
    <w:rsidRoot w:val="00DA6BD4"/>
    <w:rsid w:val="00030F8C"/>
    <w:rsid w:val="00032BE5"/>
    <w:rsid w:val="000D51CD"/>
    <w:rsid w:val="000D6F59"/>
    <w:rsid w:val="00102F83"/>
    <w:rsid w:val="001B00CD"/>
    <w:rsid w:val="001E3039"/>
    <w:rsid w:val="00207CF7"/>
    <w:rsid w:val="00275FA7"/>
    <w:rsid w:val="002C0AFC"/>
    <w:rsid w:val="00356BFE"/>
    <w:rsid w:val="0038091D"/>
    <w:rsid w:val="00383318"/>
    <w:rsid w:val="00386F7F"/>
    <w:rsid w:val="003A3C97"/>
    <w:rsid w:val="003C6F63"/>
    <w:rsid w:val="003D0B96"/>
    <w:rsid w:val="003F23FB"/>
    <w:rsid w:val="00467415"/>
    <w:rsid w:val="004B40E8"/>
    <w:rsid w:val="005248D0"/>
    <w:rsid w:val="005376C6"/>
    <w:rsid w:val="0054013B"/>
    <w:rsid w:val="005B22A3"/>
    <w:rsid w:val="005B7EDB"/>
    <w:rsid w:val="005D669C"/>
    <w:rsid w:val="005E588D"/>
    <w:rsid w:val="005F6958"/>
    <w:rsid w:val="00602230"/>
    <w:rsid w:val="00606E5C"/>
    <w:rsid w:val="00634EFE"/>
    <w:rsid w:val="006714AE"/>
    <w:rsid w:val="006766D9"/>
    <w:rsid w:val="0067762B"/>
    <w:rsid w:val="006B51E3"/>
    <w:rsid w:val="00814534"/>
    <w:rsid w:val="008D35B1"/>
    <w:rsid w:val="009A180E"/>
    <w:rsid w:val="00A0285F"/>
    <w:rsid w:val="00A367B7"/>
    <w:rsid w:val="00AB46E8"/>
    <w:rsid w:val="00B47577"/>
    <w:rsid w:val="00BA22D7"/>
    <w:rsid w:val="00D07BFE"/>
    <w:rsid w:val="00D10F27"/>
    <w:rsid w:val="00D97C59"/>
    <w:rsid w:val="00DA6BD4"/>
    <w:rsid w:val="00E04360"/>
    <w:rsid w:val="00E96482"/>
    <w:rsid w:val="00F04B2A"/>
    <w:rsid w:val="00F705C9"/>
    <w:rsid w:val="00F90119"/>
    <w:rsid w:val="00FB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49B5"/>
  <w15:chartTrackingRefBased/>
  <w15:docId w15:val="{A8A8E355-F6A4-4CA9-9C5B-48860780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D4"/>
    <w:pPr>
      <w:ind w:left="720"/>
      <w:contextualSpacing/>
    </w:pPr>
  </w:style>
  <w:style w:type="paragraph" w:styleId="BalloonText">
    <w:name w:val="Balloon Text"/>
    <w:basedOn w:val="Normal"/>
    <w:link w:val="BalloonTextChar"/>
    <w:uiPriority w:val="99"/>
    <w:semiHidden/>
    <w:unhideWhenUsed/>
    <w:rsid w:val="0027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FA7"/>
    <w:rPr>
      <w:rFonts w:ascii="Segoe UI" w:hAnsi="Segoe UI" w:cs="Segoe UI"/>
      <w:sz w:val="18"/>
      <w:szCs w:val="18"/>
    </w:rPr>
  </w:style>
  <w:style w:type="paragraph" w:styleId="Header">
    <w:name w:val="header"/>
    <w:basedOn w:val="Normal"/>
    <w:link w:val="HeaderChar"/>
    <w:uiPriority w:val="99"/>
    <w:unhideWhenUsed/>
    <w:rsid w:val="00676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6D9"/>
  </w:style>
  <w:style w:type="paragraph" w:styleId="Footer">
    <w:name w:val="footer"/>
    <w:basedOn w:val="Normal"/>
    <w:link w:val="FooterChar"/>
    <w:uiPriority w:val="99"/>
    <w:unhideWhenUsed/>
    <w:rsid w:val="00676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6D9"/>
  </w:style>
  <w:style w:type="paragraph" w:styleId="BodyText">
    <w:name w:val="Body Text"/>
    <w:basedOn w:val="Normal"/>
    <w:link w:val="BodyTextChar"/>
    <w:uiPriority w:val="99"/>
    <w:semiHidden/>
    <w:unhideWhenUsed/>
    <w:rsid w:val="003C6F63"/>
    <w:pPr>
      <w:spacing w:after="120"/>
    </w:pPr>
  </w:style>
  <w:style w:type="character" w:customStyle="1" w:styleId="BodyTextChar">
    <w:name w:val="Body Text Char"/>
    <w:basedOn w:val="DefaultParagraphFont"/>
    <w:link w:val="BodyText"/>
    <w:uiPriority w:val="99"/>
    <w:semiHidden/>
    <w:rsid w:val="003C6F63"/>
  </w:style>
  <w:style w:type="character" w:styleId="Hyperlink">
    <w:name w:val="Hyperlink"/>
    <w:basedOn w:val="DefaultParagraphFont"/>
    <w:uiPriority w:val="99"/>
    <w:unhideWhenUsed/>
    <w:rsid w:val="003C6F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9366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Elizabeth Ewing</cp:lastModifiedBy>
  <cp:revision>2</cp:revision>
  <cp:lastPrinted>2020-10-23T15:36:00Z</cp:lastPrinted>
  <dcterms:created xsi:type="dcterms:W3CDTF">2020-11-02T14:14:00Z</dcterms:created>
  <dcterms:modified xsi:type="dcterms:W3CDTF">2020-11-02T14:14:00Z</dcterms:modified>
</cp:coreProperties>
</file>